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2D" w:rsidRDefault="00250E2D" w:rsidP="00250E2D">
      <w:pPr>
        <w:jc w:val="center"/>
      </w:pPr>
      <w:r>
        <w:t>CAT ABSTRACT</w:t>
      </w:r>
    </w:p>
    <w:p w:rsidR="003020A3" w:rsidRDefault="003020A3" w:rsidP="00250E2D">
      <w:pPr>
        <w:jc w:val="center"/>
      </w:pPr>
      <w:r>
        <w:t>Steven Ricondo, M.D.</w:t>
      </w:r>
    </w:p>
    <w:p w:rsidR="004058CF" w:rsidRDefault="004058CF" w:rsidP="00250E2D"/>
    <w:p w:rsidR="00592502" w:rsidRDefault="0049784F" w:rsidP="00650746">
      <w:pPr>
        <w:ind w:firstLine="720"/>
      </w:pPr>
      <w:r>
        <w:t xml:space="preserve">HIV affects more than 35 million individuals worldwide with 2.1 million new diagnoses </w:t>
      </w:r>
      <w:r w:rsidR="000B5EFD">
        <w:t xml:space="preserve">and </w:t>
      </w:r>
      <w:r w:rsidR="00F97E85">
        <w:t>1.5 million AIDS-related deaths per year</w:t>
      </w:r>
      <w:r w:rsidR="000B5EFD">
        <w:t xml:space="preserve"> worldwide</w:t>
      </w:r>
      <w:r w:rsidR="00F97E85">
        <w:t xml:space="preserve">. </w:t>
      </w:r>
      <w:r w:rsidR="000B5EFD">
        <w:t>P</w:t>
      </w:r>
      <w:r w:rsidR="00C74F02">
        <w:t>opulation</w:t>
      </w:r>
      <w:r w:rsidR="000B5EFD">
        <w:t>s at increased risk</w:t>
      </w:r>
      <w:r w:rsidR="00C74F02">
        <w:t xml:space="preserve"> </w:t>
      </w:r>
      <w:r w:rsidR="000B5EFD">
        <w:t>for HIV seroconversion include</w:t>
      </w:r>
      <w:r w:rsidR="00C74F02">
        <w:t xml:space="preserve"> </w:t>
      </w:r>
      <w:r w:rsidR="000B5EFD">
        <w:t>those living in low- and middle-income countries, commercial sex workers, IV drug users (IVDU), men who have sex with men (MSM), individuals in serodiscordant relationships</w:t>
      </w:r>
      <w:r w:rsidR="00AE3D0B">
        <w:t>, and sexually-active young adults</w:t>
      </w:r>
      <w:r w:rsidR="000B5EFD">
        <w:t xml:space="preserve">. Despite advances in </w:t>
      </w:r>
      <w:r w:rsidR="00AE3D0B">
        <w:t>the medical management of HIV/AIDS, access to preventive care and appropriate antiretroviral therapy (ART) remains limited. F</w:t>
      </w:r>
      <w:r w:rsidR="00F97E85">
        <w:t>ewer than 40% of HIV-infected individuals in low</w:t>
      </w:r>
      <w:r w:rsidR="00AE3D0B">
        <w:t>-</w:t>
      </w:r>
      <w:r w:rsidR="00F97E85">
        <w:t xml:space="preserve"> and middle-income countries receive </w:t>
      </w:r>
      <w:r w:rsidR="00896EC7">
        <w:t>ART</w:t>
      </w:r>
      <w:r w:rsidR="00F97E85">
        <w:t xml:space="preserve">. Given </w:t>
      </w:r>
      <w:r w:rsidR="00453EF1">
        <w:t>HIV prevalence</w:t>
      </w:r>
      <w:r w:rsidR="00F97E85">
        <w:t xml:space="preserve">, </w:t>
      </w:r>
      <w:r w:rsidR="00AE3D0B">
        <w:t xml:space="preserve">multiple </w:t>
      </w:r>
      <w:r w:rsidR="00F97E85">
        <w:t xml:space="preserve">prevention strategies </w:t>
      </w:r>
      <w:r w:rsidR="0007537E">
        <w:t xml:space="preserve">aimed at decreasing transmission </w:t>
      </w:r>
      <w:r w:rsidR="00AE3D0B">
        <w:t>(i.e. male circumcision, STI treatm</w:t>
      </w:r>
      <w:r w:rsidR="0007537E">
        <w:t xml:space="preserve">ent, and attempted development of an HIV vaccine) </w:t>
      </w:r>
      <w:r w:rsidR="00F97E85">
        <w:t>have been trialed in high-risk populations</w:t>
      </w:r>
      <w:r w:rsidR="0007537E">
        <w:t xml:space="preserve"> </w:t>
      </w:r>
      <w:r w:rsidR="00276C24">
        <w:t xml:space="preserve">with some risk reduction noted. </w:t>
      </w:r>
      <w:r w:rsidR="00FB1E04">
        <w:t xml:space="preserve">HIV </w:t>
      </w:r>
      <w:r w:rsidR="00650746">
        <w:t xml:space="preserve">PrEP </w:t>
      </w:r>
      <w:r w:rsidR="00453EF1">
        <w:t>(Pre-Exposure Prophylaxis)</w:t>
      </w:r>
      <w:r w:rsidR="00FB1E04">
        <w:t xml:space="preserve">, the use of ART by individuals </w:t>
      </w:r>
      <w:r w:rsidR="004B5AE4">
        <w:t>at increased</w:t>
      </w:r>
      <w:r w:rsidR="00FB1E04">
        <w:t xml:space="preserve"> risk for HIV </w:t>
      </w:r>
      <w:r w:rsidR="004B5AE4">
        <w:t>acquisition</w:t>
      </w:r>
      <w:r w:rsidR="00FB1E04">
        <w:t xml:space="preserve">, has proven successful in reducing </w:t>
      </w:r>
      <w:r w:rsidR="004B5AE4">
        <w:t xml:space="preserve">the </w:t>
      </w:r>
      <w:r w:rsidR="00FB1E04">
        <w:t>risk of HIV seroconversion</w:t>
      </w:r>
      <w:r w:rsidR="00A52E03">
        <w:t xml:space="preserve"> in some populations</w:t>
      </w:r>
      <w:r w:rsidR="00FB1E04">
        <w:t>.</w:t>
      </w:r>
      <w:r w:rsidR="00650746">
        <w:t xml:space="preserve"> </w:t>
      </w:r>
      <w:r w:rsidR="00650746" w:rsidRPr="00650746">
        <w:t xml:space="preserve">With the increasing promise of PrEP, discussion </w:t>
      </w:r>
      <w:r w:rsidR="009E0E8B">
        <w:t xml:space="preserve">in public forums </w:t>
      </w:r>
      <w:r w:rsidR="00650746" w:rsidRPr="00650746">
        <w:t>has risen</w:t>
      </w:r>
      <w:r w:rsidR="00C617BC">
        <w:t>. As such,</w:t>
      </w:r>
      <w:r w:rsidR="004B5AE4">
        <w:t xml:space="preserve"> providers </w:t>
      </w:r>
      <w:r w:rsidR="00896EC7">
        <w:t>should be prepared to answer questions regarding its use.</w:t>
      </w:r>
    </w:p>
    <w:p w:rsidR="00650746" w:rsidRPr="00650746" w:rsidRDefault="00650746" w:rsidP="00650746">
      <w:pPr>
        <w:ind w:firstLine="720"/>
      </w:pPr>
    </w:p>
    <w:p w:rsidR="00592502" w:rsidRDefault="00257806" w:rsidP="00F266DD">
      <w:pPr>
        <w:ind w:firstLine="720"/>
      </w:pPr>
      <w:r>
        <w:t>A literature review was performed to assess</w:t>
      </w:r>
      <w:r w:rsidR="00650746" w:rsidRPr="00650746">
        <w:t xml:space="preserve"> the </w:t>
      </w:r>
      <w:r w:rsidR="008E1E8A">
        <w:t>role</w:t>
      </w:r>
      <w:r w:rsidR="00650746" w:rsidRPr="00650746">
        <w:t xml:space="preserve"> of HIV pre-exposure chemoprophylaxis</w:t>
      </w:r>
      <w:r w:rsidR="000904E7">
        <w:t xml:space="preserve"> </w:t>
      </w:r>
      <w:r w:rsidR="008E1E8A">
        <w:t>for</w:t>
      </w:r>
      <w:r w:rsidR="000904E7">
        <w:t xml:space="preserve"> decreasing</w:t>
      </w:r>
      <w:r w:rsidR="000904E7" w:rsidRPr="00650746">
        <w:t xml:space="preserve"> the risk of HIV infection</w:t>
      </w:r>
      <w:r w:rsidR="000904E7">
        <w:t xml:space="preserve"> in high risk adolescent youth. </w:t>
      </w:r>
      <w:r w:rsidR="00AC7529">
        <w:t>The</w:t>
      </w:r>
      <w:r w:rsidR="00050C1E">
        <w:t xml:space="preserve"> Cochrane</w:t>
      </w:r>
      <w:r w:rsidR="00AC7529">
        <w:t xml:space="preserve"> and PubMed </w:t>
      </w:r>
      <w:r w:rsidR="00050C1E">
        <w:t xml:space="preserve">Databases </w:t>
      </w:r>
      <w:r w:rsidR="00AC7529">
        <w:t>were each searched using the</w:t>
      </w:r>
      <w:r w:rsidR="00050C1E">
        <w:t xml:space="preserve"> keywords “PrEP” and “HIV.” PubMed search r</w:t>
      </w:r>
      <w:r w:rsidR="00AC7529">
        <w:t>esults were limited to randomized co</w:t>
      </w:r>
      <w:r w:rsidR="00050C1E">
        <w:t>ntrolled trials.  The Cochrane D</w:t>
      </w:r>
      <w:r w:rsidR="00AC7529">
        <w:t xml:space="preserve">atabase </w:t>
      </w:r>
      <w:r w:rsidR="00933D0C">
        <w:t>search yielded 1 result, a systematic review included in this literature review</w:t>
      </w:r>
      <w:r w:rsidR="00050C1E">
        <w:t>. The PubMed D</w:t>
      </w:r>
      <w:r w:rsidR="00933D0C">
        <w:t>atabase search yielded 38 results</w:t>
      </w:r>
      <w:r w:rsidR="00F266DD">
        <w:t>. Three</w:t>
      </w:r>
      <w:r w:rsidR="00933D0C">
        <w:t xml:space="preserve"> </w:t>
      </w:r>
      <w:r w:rsidR="00F266DD">
        <w:t xml:space="preserve">notable </w:t>
      </w:r>
      <w:r w:rsidR="00933D0C">
        <w:t>randomized controlled trials were selected</w:t>
      </w:r>
      <w:r w:rsidR="00F266DD">
        <w:t xml:space="preserve"> for review: the CAPRISA 004 Trial, the Bangkok Tenofovir Study, and the VOICE Study. </w:t>
      </w:r>
      <w:r w:rsidR="00C42492">
        <w:t>Demographics of chosen studies</w:t>
      </w:r>
      <w:r w:rsidR="000B5EFD">
        <w:t xml:space="preserve"> included high risk individuals</w:t>
      </w:r>
      <w:r w:rsidR="00A52E03">
        <w:t>, age range</w:t>
      </w:r>
      <w:r w:rsidR="00C42492">
        <w:t xml:space="preserve"> </w:t>
      </w:r>
      <w:r w:rsidR="00E437B3">
        <w:t>18-69 years old.</w:t>
      </w:r>
      <w:r w:rsidR="00C42492">
        <w:t xml:space="preserve"> </w:t>
      </w:r>
      <w:r w:rsidR="008E1E8A">
        <w:t xml:space="preserve">Selected trials assessed efficacy of Tenofovir vaginal gel, oral Tenofovir, and oral Tenofovir-Emtricitabine. </w:t>
      </w:r>
    </w:p>
    <w:p w:rsidR="00592502" w:rsidRDefault="00592502" w:rsidP="00F266DD">
      <w:pPr>
        <w:ind w:firstLine="720"/>
      </w:pPr>
    </w:p>
    <w:p w:rsidR="00791212" w:rsidRDefault="008E1E8A" w:rsidP="00C347DB">
      <w:pPr>
        <w:ind w:firstLine="720"/>
      </w:pPr>
      <w:r>
        <w:t>The CAPRISA 004 Trial, Bangkok</w:t>
      </w:r>
      <w:r w:rsidR="00C347DB">
        <w:t xml:space="preserve"> Tenofovir Study, and Cochrane Systematic R</w:t>
      </w:r>
      <w:r>
        <w:t xml:space="preserve">eview demonstrated </w:t>
      </w:r>
      <w:r w:rsidR="00850234">
        <w:t>36-67% risk reduction of HIV seroconversion in patients receiving HIV pre-exposure chemoprophylaxis. Risk reduction</w:t>
      </w:r>
      <w:r w:rsidR="00592502">
        <w:t xml:space="preserve"> increased </w:t>
      </w:r>
      <w:r w:rsidR="00063F90">
        <w:t>in the setting of</w:t>
      </w:r>
      <w:r w:rsidR="00592502">
        <w:t xml:space="preserve"> greater </w:t>
      </w:r>
      <w:r w:rsidR="00063F90">
        <w:t xml:space="preserve">subject </w:t>
      </w:r>
      <w:r w:rsidR="00592502">
        <w:t>adherence</w:t>
      </w:r>
      <w:r w:rsidR="00063F90">
        <w:t xml:space="preserve"> to </w:t>
      </w:r>
      <w:r w:rsidR="008B44EC">
        <w:t>PrEP</w:t>
      </w:r>
      <w:r w:rsidR="00063F90">
        <w:t xml:space="preserve"> regimens </w:t>
      </w:r>
      <w:r w:rsidR="00BF5B9F">
        <w:t>and</w:t>
      </w:r>
      <w:r w:rsidR="00063F90">
        <w:t xml:space="preserve"> </w:t>
      </w:r>
      <w:r w:rsidR="001453DC">
        <w:t xml:space="preserve">accessibility of subjects </w:t>
      </w:r>
      <w:r w:rsidR="008B44EC">
        <w:t xml:space="preserve">to </w:t>
      </w:r>
      <w:r w:rsidR="00063F90">
        <w:t>multiple addit</w:t>
      </w:r>
      <w:r w:rsidR="008B44EC">
        <w:t>ional HIV prevention measures</w:t>
      </w:r>
      <w:r w:rsidR="00063F90">
        <w:t xml:space="preserve">. </w:t>
      </w:r>
      <w:r w:rsidR="00B723C3">
        <w:t xml:space="preserve">PrEP use was not associated with increase in high risk behaviors, decrease in preventive behaviors, or development of </w:t>
      </w:r>
      <w:r w:rsidR="00BF5B9F">
        <w:t>anti-retroviral drug</w:t>
      </w:r>
      <w:r w:rsidR="00B723C3">
        <w:t xml:space="preserve"> resistance.</w:t>
      </w:r>
      <w:r w:rsidR="00BF5B9F">
        <w:t xml:space="preserve"> Adverse effects to PrEP use included most commonly abdominal pain and diarrhea.</w:t>
      </w:r>
      <w:r w:rsidR="001A26B6">
        <w:t xml:space="preserve"> In contrast to the results of the above-mentioned studies, the VOICE study demonstrated no benefit to increased risk </w:t>
      </w:r>
      <w:r w:rsidR="00791212">
        <w:t xml:space="preserve">of HIV seroconversion </w:t>
      </w:r>
      <w:r w:rsidR="001A26B6">
        <w:t xml:space="preserve">associated with PrEP use. However, </w:t>
      </w:r>
      <w:r w:rsidR="00791212">
        <w:t xml:space="preserve">study data was biased by </w:t>
      </w:r>
      <w:r w:rsidR="00C347DB">
        <w:t>exclusion of data, poor adherence of subjects to PrEP regimens,</w:t>
      </w:r>
      <w:r w:rsidR="00791212">
        <w:t xml:space="preserve"> </w:t>
      </w:r>
      <w:r w:rsidR="00C347DB">
        <w:t>and suboptimal study design</w:t>
      </w:r>
      <w:r w:rsidR="001A26B6">
        <w:t>.</w:t>
      </w:r>
    </w:p>
    <w:p w:rsidR="00BF5B9F" w:rsidRDefault="00BF5B9F" w:rsidP="00F266DD">
      <w:pPr>
        <w:ind w:firstLine="720"/>
      </w:pPr>
    </w:p>
    <w:p w:rsidR="00791212" w:rsidRDefault="00BF5B9F" w:rsidP="00791212">
      <w:pPr>
        <w:ind w:firstLine="720"/>
      </w:pPr>
      <w:r>
        <w:t xml:space="preserve">Current literature supports the use of PrEP for reducing </w:t>
      </w:r>
      <w:r w:rsidR="00C464D3">
        <w:t xml:space="preserve">the </w:t>
      </w:r>
      <w:r>
        <w:t>risk of HIV infection</w:t>
      </w:r>
      <w:r w:rsidR="004F0F5C">
        <w:t xml:space="preserve"> in high risk adolescents </w:t>
      </w:r>
      <w:r>
        <w:t>greater than or equal</w:t>
      </w:r>
      <w:r w:rsidR="00C464D3">
        <w:t xml:space="preserve"> to 18 years old</w:t>
      </w:r>
      <w:r w:rsidR="000F612B">
        <w:t xml:space="preserve"> in conjunction with additional HIV prevention measures</w:t>
      </w:r>
      <w:r w:rsidR="00C464D3">
        <w:t xml:space="preserve">. </w:t>
      </w:r>
      <w:r w:rsidR="004B5AE4">
        <w:t xml:space="preserve">In 2012, the CDC published provider recommendations for PrEP use in adults. </w:t>
      </w:r>
      <w:r w:rsidR="000F612B">
        <w:t xml:space="preserve">However, there </w:t>
      </w:r>
      <w:r w:rsidR="004B5AE4">
        <w:t>are</w:t>
      </w:r>
      <w:r w:rsidR="000F612B">
        <w:t xml:space="preserve"> no current </w:t>
      </w:r>
      <w:r w:rsidR="004B5AE4">
        <w:t>recommendations</w:t>
      </w:r>
      <w:r w:rsidR="000F612B">
        <w:t xml:space="preserve"> regarding PrEP use in </w:t>
      </w:r>
      <w:r w:rsidR="004F0F5C">
        <w:t xml:space="preserve">high risk adolescents younger than 18 years old. Given the adherence-dependent benefit of PrEP and </w:t>
      </w:r>
      <w:r w:rsidR="007B608E">
        <w:t>potential for medication non-adherence in adolescence, further studies are necessary to assess the efficacy of PrEP in this population. Additionally, further recommendations are needed from the AAP and SAHM regarding this cont</w:t>
      </w:r>
      <w:r w:rsidR="004B5AE4">
        <w:t>roversial topic as legal limitations of</w:t>
      </w:r>
      <w:r w:rsidR="007B608E">
        <w:t xml:space="preserve"> adolescent medical decision-making </w:t>
      </w:r>
      <w:r w:rsidR="004B5AE4">
        <w:t xml:space="preserve">capacity </w:t>
      </w:r>
      <w:r w:rsidR="007B608E">
        <w:t xml:space="preserve">may prevent distribution of PrEP to </w:t>
      </w:r>
      <w:r w:rsidR="00B71253">
        <w:t xml:space="preserve">individuals </w:t>
      </w:r>
      <w:r w:rsidR="0045080D">
        <w:t>who</w:t>
      </w:r>
      <w:r w:rsidR="004B5AE4">
        <w:t xml:space="preserve"> might benefit from its use</w:t>
      </w:r>
      <w:r w:rsidR="007B608E">
        <w:t xml:space="preserve">. </w:t>
      </w:r>
    </w:p>
    <w:p w:rsidR="004058CF" w:rsidRDefault="004058CF" w:rsidP="00791212">
      <w:pPr>
        <w:ind w:firstLine="720"/>
      </w:pPr>
    </w:p>
    <w:p w:rsidR="004058CF" w:rsidRPr="0049784F" w:rsidRDefault="0049784F" w:rsidP="0049784F">
      <w:pPr>
        <w:jc w:val="center"/>
        <w:rPr>
          <w:b/>
        </w:rPr>
      </w:pPr>
      <w:r w:rsidRPr="0049784F">
        <w:rPr>
          <w:b/>
        </w:rPr>
        <w:t>References</w:t>
      </w:r>
    </w:p>
    <w:p w:rsidR="004058CF" w:rsidRPr="004058CF" w:rsidRDefault="004058CF" w:rsidP="004058CF">
      <w:r w:rsidRPr="004058CF">
        <w:t>1. World Health Organization. (2015). [HIV/AIDS Data and Statistics]. HIV/AIDS Data and Statistics. Retrieved from http://www.who.int/hiv/data/en/</w:t>
      </w:r>
    </w:p>
    <w:p w:rsidR="004058CF" w:rsidRPr="004058CF" w:rsidRDefault="004058CF" w:rsidP="004058CF">
      <w:r w:rsidRPr="004058CF">
        <w:t xml:space="preserve">2. The New York City Department of Health and Mental Hygiene. (2015). [PrEP materials]. </w:t>
      </w:r>
      <w:r w:rsidRPr="004058CF">
        <w:rPr>
          <w:i/>
          <w:iCs/>
        </w:rPr>
        <w:t>New Ways to Prevent HIV</w:t>
      </w:r>
      <w:r w:rsidRPr="004058CF">
        <w:t>. Retrieved from http://www.nyc.gov/html/doh/html/living/prep-pep.shtml</w:t>
      </w:r>
    </w:p>
    <w:p w:rsidR="004058CF" w:rsidRPr="004058CF" w:rsidRDefault="004058CF" w:rsidP="004058CF">
      <w:r w:rsidRPr="004058CF">
        <w:t xml:space="preserve">3. Abdool Karim, Q., Abdool Karim, S.S., Frohlich, J.A., Grobler, A.C., Baxter, C., Mansoor, L.E., … Taylor, D. (2010). Effectiveness and safety of Tenofovir gel, an antiretroviral microbicide, for the prevention of HIV infection in women. </w:t>
      </w:r>
      <w:r w:rsidRPr="004058CF">
        <w:rPr>
          <w:i/>
          <w:iCs/>
        </w:rPr>
        <w:t>Science, 329</w:t>
      </w:r>
      <w:r w:rsidRPr="004058CF">
        <w:t>, 1168-1174.</w:t>
      </w:r>
    </w:p>
    <w:p w:rsidR="004058CF" w:rsidRPr="004058CF" w:rsidRDefault="004058CF" w:rsidP="004058CF">
      <w:r w:rsidRPr="004058CF">
        <w:t xml:space="preserve">4. Choopanya, K., Martin, M., Suntharasamai, P., Sangkum, U., Mock, P.A., Leethachawalit, M., … Vanichseni, S. (2013). Antiretroviral prophylaxis for HIV infection in injecting drug users in Bangkok, Thailand (the Bangkok Tenofovir Study): a randomised, double-blind, placebo-controlled phase 3 trial. </w:t>
      </w:r>
      <w:r w:rsidRPr="004058CF">
        <w:rPr>
          <w:i/>
          <w:iCs/>
        </w:rPr>
        <w:t>Lancet, 381</w:t>
      </w:r>
      <w:r w:rsidRPr="004058CF">
        <w:t>, 2083-2090.</w:t>
      </w:r>
    </w:p>
    <w:p w:rsidR="004058CF" w:rsidRPr="004058CF" w:rsidRDefault="004058CF" w:rsidP="004058CF">
      <w:r w:rsidRPr="004058CF">
        <w:t xml:space="preserve">5. Marrazzo, J.M., Ramjee, G., Richardson, B.A., Gomez, K., Mgodi, N., Nair, G., … Chirenje, Z.M. (2015). Tenofovir-based preexposure prophylaxis for HIV infection among African women. </w:t>
      </w:r>
      <w:r w:rsidRPr="004058CF">
        <w:rPr>
          <w:i/>
          <w:iCs/>
        </w:rPr>
        <w:t>New England Journal of Medicine, 372</w:t>
      </w:r>
      <w:r w:rsidRPr="004058CF">
        <w:t>, 509-518.</w:t>
      </w:r>
    </w:p>
    <w:p w:rsidR="004058CF" w:rsidRPr="004058CF" w:rsidRDefault="004058CF" w:rsidP="004058CF">
      <w:r w:rsidRPr="004058CF">
        <w:t xml:space="preserve">6. Okwundu, C.I., Uthman, O.A., &amp; Okoromah, C.A.N. (2012). Antiretroviral pre-exposure prophylaxis (PrEP) for preventing HIV in high-risk individuals. </w:t>
      </w:r>
      <w:r w:rsidRPr="004058CF">
        <w:rPr>
          <w:i/>
          <w:iCs/>
        </w:rPr>
        <w:t>Cochrane Database of Systematic Reviews, 7</w:t>
      </w:r>
      <w:r w:rsidRPr="004058CF">
        <w:t>, 1-43.</w:t>
      </w:r>
    </w:p>
    <w:p w:rsidR="004058CF" w:rsidRPr="004058CF" w:rsidRDefault="004058CF" w:rsidP="004058CF">
      <w:r w:rsidRPr="004058CF">
        <w:t>7. Centers for Disease Control and Prevention. (2014). [Preexposure Prophylaxis for the Prevention of HIV in the United States: A Clinical Practice Guideline]. Pre-Exposure Prophylaxis (PrEP). Retrieved from http://www.cdc.gov/hiv/pdf/PrEPguidelines2014.pdf</w:t>
      </w:r>
    </w:p>
    <w:p w:rsidR="00250E2D" w:rsidRDefault="00250E2D" w:rsidP="00250E2D"/>
    <w:sectPr w:rsidR="00250E2D" w:rsidSect="0049784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E2D"/>
    <w:rsid w:val="00050C1E"/>
    <w:rsid w:val="00063F90"/>
    <w:rsid w:val="0007537E"/>
    <w:rsid w:val="000904E7"/>
    <w:rsid w:val="000B5EFD"/>
    <w:rsid w:val="000F612B"/>
    <w:rsid w:val="001453DC"/>
    <w:rsid w:val="001A26B6"/>
    <w:rsid w:val="002268D1"/>
    <w:rsid w:val="00250E2D"/>
    <w:rsid w:val="00257806"/>
    <w:rsid w:val="00276C24"/>
    <w:rsid w:val="003020A3"/>
    <w:rsid w:val="004058CF"/>
    <w:rsid w:val="0042141E"/>
    <w:rsid w:val="00422E45"/>
    <w:rsid w:val="0045080D"/>
    <w:rsid w:val="00453EF1"/>
    <w:rsid w:val="0049784F"/>
    <w:rsid w:val="004B5AE4"/>
    <w:rsid w:val="004F0F5C"/>
    <w:rsid w:val="00515F4E"/>
    <w:rsid w:val="00592502"/>
    <w:rsid w:val="005B3D50"/>
    <w:rsid w:val="00650746"/>
    <w:rsid w:val="006D5B99"/>
    <w:rsid w:val="00791212"/>
    <w:rsid w:val="007B608E"/>
    <w:rsid w:val="00850234"/>
    <w:rsid w:val="00896EC7"/>
    <w:rsid w:val="008B44EC"/>
    <w:rsid w:val="008E1E8A"/>
    <w:rsid w:val="00912DCC"/>
    <w:rsid w:val="00933D0C"/>
    <w:rsid w:val="00983C66"/>
    <w:rsid w:val="009E0E8B"/>
    <w:rsid w:val="00A52E03"/>
    <w:rsid w:val="00AC7529"/>
    <w:rsid w:val="00AE3D0B"/>
    <w:rsid w:val="00B71253"/>
    <w:rsid w:val="00B723C3"/>
    <w:rsid w:val="00B9335E"/>
    <w:rsid w:val="00BF5B9F"/>
    <w:rsid w:val="00C347DB"/>
    <w:rsid w:val="00C42492"/>
    <w:rsid w:val="00C464D3"/>
    <w:rsid w:val="00C617BC"/>
    <w:rsid w:val="00C74F02"/>
    <w:rsid w:val="00C7647A"/>
    <w:rsid w:val="00D91108"/>
    <w:rsid w:val="00E437B3"/>
    <w:rsid w:val="00E8725E"/>
    <w:rsid w:val="00F266DD"/>
    <w:rsid w:val="00F471E6"/>
    <w:rsid w:val="00F95EE8"/>
    <w:rsid w:val="00F97E85"/>
    <w:rsid w:val="00FB1E04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6C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5074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4478</Characters>
  <Application>Microsoft Macintosh Word</Application>
  <DocSecurity>0</DocSecurity>
  <Lines>37</Lines>
  <Paragraphs>8</Paragraphs>
  <ScaleCrop>false</ScaleCrop>
  <Company>UT Southwestern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Ricondo</dc:creator>
  <cp:keywords/>
  <cp:lastModifiedBy>Steven Ricondo</cp:lastModifiedBy>
  <cp:revision>2</cp:revision>
  <dcterms:created xsi:type="dcterms:W3CDTF">2015-09-27T22:47:00Z</dcterms:created>
  <dcterms:modified xsi:type="dcterms:W3CDTF">2015-09-27T22:47:00Z</dcterms:modified>
</cp:coreProperties>
</file>