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CA4D" w14:textId="0E796C41" w:rsidR="008F56C4" w:rsidRPr="001F4DCF" w:rsidRDefault="008F56C4" w:rsidP="008F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Empiric Antibiotic Guidelines for</w:t>
      </w:r>
      <w:r w:rsidR="006D104A">
        <w:rPr>
          <w:rFonts w:ascii="Times New Roman" w:hAnsi="Times New Roman" w:cs="Times New Roman"/>
          <w:b/>
          <w:sz w:val="24"/>
          <w:szCs w:val="24"/>
        </w:rPr>
        <w:t xml:space="preserve"> Sepsis in Infants and Children &gt;30 Days</w:t>
      </w:r>
    </w:p>
    <w:p w14:paraId="3DEAB1F5" w14:textId="610A0EA5" w:rsidR="000C0861" w:rsidRPr="001F4DCF" w:rsidRDefault="006D104A" w:rsidP="008F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(See neonatal sepsis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powerplan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patients 0-30 days)</w:t>
      </w:r>
    </w:p>
    <w:p w14:paraId="6FB9E782" w14:textId="77777777" w:rsidR="008F56C4" w:rsidRPr="001F4DCF" w:rsidRDefault="008F56C4" w:rsidP="008F56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F34875" w14:textId="36FBF2F2" w:rsidR="006A1DD1" w:rsidRPr="001F4DCF" w:rsidRDefault="002E1BEE" w:rsidP="006A1D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Sepsis</w:t>
      </w:r>
    </w:p>
    <w:p w14:paraId="7EF16E2F" w14:textId="3FCD48E9" w:rsidR="00055CE5" w:rsidRPr="001F4DCF" w:rsidRDefault="002E1BEE" w:rsidP="002E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diagnosis of sepsis is a clinical one; definitions of sepsis and SIRS can be found at the end of this document, however, for the purposes of determination of empiric antibiotic choice, </w:t>
      </w:r>
      <w:r w:rsidR="00EC7371">
        <w:rPr>
          <w:rFonts w:ascii="Times New Roman" w:hAnsi="Times New Roman" w:cs="Times New Roman"/>
          <w:sz w:val="24"/>
          <w:szCs w:val="24"/>
        </w:rPr>
        <w:t>anyone whom the attending of record deems to be septic should receive antibiotics according to this guideline. This will avoid under</w:t>
      </w:r>
      <w:r w:rsidR="0035275D">
        <w:rPr>
          <w:rFonts w:ascii="Times New Roman" w:hAnsi="Times New Roman" w:cs="Times New Roman"/>
          <w:sz w:val="24"/>
          <w:szCs w:val="24"/>
        </w:rPr>
        <w:t>-</w:t>
      </w:r>
      <w:r w:rsidR="00EC7371">
        <w:rPr>
          <w:rFonts w:ascii="Times New Roman" w:hAnsi="Times New Roman" w:cs="Times New Roman"/>
          <w:sz w:val="24"/>
          <w:szCs w:val="24"/>
        </w:rPr>
        <w:t xml:space="preserve">treatment; </w:t>
      </w:r>
      <w:r w:rsidR="0035275D">
        <w:rPr>
          <w:rFonts w:ascii="Times New Roman" w:hAnsi="Times New Roman" w:cs="Times New Roman"/>
          <w:sz w:val="24"/>
          <w:szCs w:val="24"/>
        </w:rPr>
        <w:t xml:space="preserve">initial </w:t>
      </w:r>
      <w:r w:rsidR="00EC7371">
        <w:rPr>
          <w:rFonts w:ascii="Times New Roman" w:hAnsi="Times New Roman" w:cs="Times New Roman"/>
          <w:sz w:val="24"/>
          <w:szCs w:val="24"/>
        </w:rPr>
        <w:t xml:space="preserve">empiric regimens can always be scaled back and should be reassessed </w:t>
      </w:r>
      <w:r w:rsidR="00C7266A">
        <w:rPr>
          <w:rFonts w:ascii="Times New Roman" w:hAnsi="Times New Roman" w:cs="Times New Roman"/>
          <w:sz w:val="24"/>
          <w:szCs w:val="24"/>
        </w:rPr>
        <w:t>on a continuous basis as the patient’s clinical status changes.</w:t>
      </w:r>
    </w:p>
    <w:p w14:paraId="0A258B05" w14:textId="77777777" w:rsidR="001F4DCF" w:rsidRPr="001F4DCF" w:rsidRDefault="001F4DCF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1CF537" w14:textId="376EFEFD" w:rsidR="00542722" w:rsidRPr="001F4DCF" w:rsidRDefault="00542722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 xml:space="preserve">Workup for suspected </w:t>
      </w:r>
      <w:r w:rsidR="00BC57F8">
        <w:rPr>
          <w:rFonts w:ascii="Times New Roman" w:hAnsi="Times New Roman" w:cs="Times New Roman"/>
          <w:sz w:val="24"/>
          <w:szCs w:val="24"/>
          <w:u w:val="single"/>
        </w:rPr>
        <w:t>sepsis</w:t>
      </w:r>
    </w:p>
    <w:p w14:paraId="2F654844" w14:textId="77777777" w:rsidR="00B25634" w:rsidRPr="001F4DCF" w:rsidRDefault="00B25634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This workup should include, but would not be limited to:</w:t>
      </w:r>
    </w:p>
    <w:p w14:paraId="07E0F701" w14:textId="77777777" w:rsidR="00B25634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CBC with diff</w:t>
      </w:r>
    </w:p>
    <w:p w14:paraId="03608D8D" w14:textId="06203ED0" w:rsidR="00BC57F8" w:rsidRDefault="00BC57F8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metabolic panel</w:t>
      </w:r>
    </w:p>
    <w:p w14:paraId="1E165395" w14:textId="08B02A26" w:rsidR="00BC57F8" w:rsidRDefault="00BC57F8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LFT’s</w:t>
      </w:r>
    </w:p>
    <w:p w14:paraId="694D98D1" w14:textId="35B9E606" w:rsidR="00BC57F8" w:rsidRPr="001F4DCF" w:rsidRDefault="00BC57F8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PT/PTT/INR</w:t>
      </w:r>
    </w:p>
    <w:p w14:paraId="20226CA9" w14:textId="77777777" w:rsidR="00B25634" w:rsidRPr="001F4DCF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DCF">
        <w:rPr>
          <w:rFonts w:ascii="Times New Roman" w:hAnsi="Times New Roman" w:cs="Times New Roman"/>
          <w:sz w:val="24"/>
          <w:szCs w:val="24"/>
        </w:rPr>
        <w:t>Procalcitonin</w:t>
      </w:r>
      <w:proofErr w:type="spellEnd"/>
    </w:p>
    <w:p w14:paraId="166E303D" w14:textId="77777777" w:rsidR="00B25634" w:rsidRPr="001F4DCF" w:rsidRDefault="00DD2D23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ABG/lactate</w:t>
      </w:r>
    </w:p>
    <w:p w14:paraId="11216EC5" w14:textId="68B70C1A" w:rsidR="00B25634" w:rsidRPr="001F4DCF" w:rsidRDefault="00BC57F8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culture x 2 (see below)</w:t>
      </w:r>
    </w:p>
    <w:p w14:paraId="43C1CACD" w14:textId="0CDC882B" w:rsidR="00B25634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Sputum sent for RVP</w:t>
      </w:r>
    </w:p>
    <w:p w14:paraId="2504B85D" w14:textId="4A637D13" w:rsidR="00542722" w:rsidRDefault="00B25634" w:rsidP="0063700D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The PICU team should, if relevant, try to review past year (or less if not all available) </w:t>
      </w:r>
      <w:r w:rsidR="001F4DCF" w:rsidRPr="001F4DCF">
        <w:rPr>
          <w:rFonts w:ascii="Times New Roman" w:hAnsi="Times New Roman" w:cs="Times New Roman"/>
          <w:sz w:val="24"/>
          <w:szCs w:val="24"/>
        </w:rPr>
        <w:t xml:space="preserve">of microbiology records for </w:t>
      </w:r>
      <w:r w:rsidR="00BC57F8">
        <w:rPr>
          <w:rFonts w:ascii="Times New Roman" w:hAnsi="Times New Roman" w:cs="Times New Roman"/>
          <w:sz w:val="24"/>
          <w:szCs w:val="24"/>
        </w:rPr>
        <w:t>cultures to guide empiric therapy</w:t>
      </w:r>
      <w:r w:rsidR="0035275D">
        <w:rPr>
          <w:rFonts w:ascii="Times New Roman" w:hAnsi="Times New Roman" w:cs="Times New Roman"/>
          <w:sz w:val="24"/>
          <w:szCs w:val="24"/>
        </w:rPr>
        <w:t>.</w:t>
      </w:r>
    </w:p>
    <w:p w14:paraId="57F9B6DC" w14:textId="77777777" w:rsidR="00CB30D4" w:rsidRDefault="00CB30D4" w:rsidP="0063700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7A6B22" w14:textId="2252AC06" w:rsidR="0063700D" w:rsidRDefault="0063700D" w:rsidP="006370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700D">
        <w:rPr>
          <w:rFonts w:ascii="Times New Roman" w:hAnsi="Times New Roman" w:cs="Times New Roman"/>
          <w:sz w:val="24"/>
          <w:szCs w:val="24"/>
          <w:u w:val="single"/>
        </w:rPr>
        <w:t>Blood Culture Quantity Guidance</w:t>
      </w:r>
    </w:p>
    <w:p w14:paraId="6ED69012" w14:textId="77777777" w:rsidR="0063700D" w:rsidRPr="0063700D" w:rsidRDefault="0063700D" w:rsidP="006370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652"/>
      </w:tblGrid>
      <w:tr w:rsidR="0063700D" w:rsidRPr="0063700D" w14:paraId="5E4E2166" w14:textId="77777777" w:rsidTr="006370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52" w:type="dxa"/>
            <w:shd w:val="clear" w:color="auto" w:fill="F2F2F2" w:themeFill="background1" w:themeFillShade="F2"/>
          </w:tcPr>
          <w:p w14:paraId="3861F6AE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Weight range (kg)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214139AB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Recommended blood volume/culture* </w:t>
            </w:r>
          </w:p>
        </w:tc>
      </w:tr>
      <w:tr w:rsidR="0063700D" w:rsidRPr="0063700D" w14:paraId="2A31A1B5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BDD6EE" w:themeFill="accent1" w:themeFillTint="66"/>
          </w:tcPr>
          <w:p w14:paraId="76641C72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&lt;2 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14:paraId="79A42BCF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63700D" w:rsidRPr="0063700D" w14:paraId="3E060C34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F2F2F2" w:themeFill="background1" w:themeFillShade="F2"/>
          </w:tcPr>
          <w:p w14:paraId="4D1559D2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2 to &lt;4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723A88D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1.5 </w:t>
            </w:r>
          </w:p>
        </w:tc>
      </w:tr>
      <w:tr w:rsidR="0063700D" w:rsidRPr="0063700D" w14:paraId="173E03A7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BDD6EE" w:themeFill="accent1" w:themeFillTint="66"/>
          </w:tcPr>
          <w:p w14:paraId="090EFEB6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4 to &lt;7 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14:paraId="1F4E3B19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3700D" w:rsidRPr="0063700D" w14:paraId="1C19E7A8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F2F2F2" w:themeFill="background1" w:themeFillShade="F2"/>
          </w:tcPr>
          <w:p w14:paraId="411EE1C7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7 to &lt;10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58C86D67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 </w:t>
            </w:r>
          </w:p>
        </w:tc>
      </w:tr>
      <w:tr w:rsidR="0063700D" w:rsidRPr="0063700D" w14:paraId="1D4EC57E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BDD6EE" w:themeFill="accent1" w:themeFillTint="66"/>
          </w:tcPr>
          <w:p w14:paraId="28D8C657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10 to &lt;16 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14:paraId="1F3DB4D3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63700D" w:rsidRPr="0063700D" w14:paraId="344FCBF6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F2F2F2" w:themeFill="background1" w:themeFillShade="F2"/>
          </w:tcPr>
          <w:p w14:paraId="71FB2725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16 to &lt;20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B19B55F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8 </w:t>
            </w:r>
          </w:p>
        </w:tc>
      </w:tr>
      <w:tr w:rsidR="0063700D" w:rsidRPr="0063700D" w14:paraId="7DD9219C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BDD6EE" w:themeFill="accent1" w:themeFillTint="66"/>
          </w:tcPr>
          <w:p w14:paraId="74507D06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20 to &lt;26 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14:paraId="4ED93528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3700D" w:rsidRPr="0063700D" w14:paraId="2F5468C3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F2F2F2" w:themeFill="background1" w:themeFillShade="F2"/>
          </w:tcPr>
          <w:p w14:paraId="0DEB54F6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26 to &lt;40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18271B70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63700D" w:rsidRPr="0063700D" w14:paraId="1FE94384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BDD6EE" w:themeFill="accent1" w:themeFillTint="66"/>
          </w:tcPr>
          <w:p w14:paraId="5443C8D8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40 to &lt;60 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14:paraId="477CF5AA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63700D" w:rsidRPr="0063700D" w14:paraId="35F6FC5C" w14:textId="77777777" w:rsidTr="00637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652" w:type="dxa"/>
            <w:shd w:val="clear" w:color="auto" w:fill="F2F2F2" w:themeFill="background1" w:themeFillShade="F2"/>
          </w:tcPr>
          <w:p w14:paraId="52CFE0BD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≥60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0BED9EEF" w14:textId="77777777" w:rsidR="0063700D" w:rsidRPr="0063700D" w:rsidRDefault="0063700D" w:rsidP="0063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370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14:paraId="589E3294" w14:textId="77777777" w:rsidR="0063700D" w:rsidRPr="0063700D" w:rsidRDefault="0063700D" w:rsidP="0063700D">
      <w:pPr>
        <w:rPr>
          <w:rFonts w:ascii="Times New Roman" w:hAnsi="Times New Roman" w:cs="Times New Roman"/>
          <w:sz w:val="24"/>
          <w:szCs w:val="24"/>
        </w:rPr>
      </w:pPr>
    </w:p>
    <w:p w14:paraId="5E1BF0D5" w14:textId="77777777" w:rsidR="001F4DCF" w:rsidRPr="001F4DCF" w:rsidRDefault="001F4DCF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F4AC4A" w14:textId="42202885" w:rsidR="00B86C61" w:rsidRPr="001F4DCF" w:rsidRDefault="00B86C61" w:rsidP="00B86C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Antibiotic Therapy</w:t>
      </w:r>
      <w:r w:rsidR="003527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FF3">
        <w:rPr>
          <w:rFonts w:ascii="Times New Roman" w:hAnsi="Times New Roman" w:cs="Times New Roman"/>
          <w:sz w:val="24"/>
          <w:szCs w:val="24"/>
          <w:u w:val="single"/>
        </w:rPr>
        <w:t>Guidance</w:t>
      </w:r>
    </w:p>
    <w:p w14:paraId="62826873" w14:textId="753C12D3" w:rsidR="00055CE5" w:rsidRDefault="001F4DCF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Empiric antibiotic therapy would be guided by </w:t>
      </w:r>
      <w:r w:rsidR="00BC57F8">
        <w:rPr>
          <w:rFonts w:ascii="Times New Roman" w:hAnsi="Times New Roman" w:cs="Times New Roman"/>
          <w:sz w:val="24"/>
          <w:szCs w:val="24"/>
        </w:rPr>
        <w:t>a number of factors as below</w:t>
      </w:r>
      <w:r w:rsidR="00055CE5" w:rsidRPr="001F4DCF">
        <w:rPr>
          <w:rFonts w:ascii="Times New Roman" w:hAnsi="Times New Roman" w:cs="Times New Roman"/>
          <w:sz w:val="24"/>
          <w:szCs w:val="24"/>
        </w:rPr>
        <w:t>:</w:t>
      </w:r>
    </w:p>
    <w:p w14:paraId="1CAB31EC" w14:textId="04EB5683" w:rsidR="00BC57F8" w:rsidRPr="00BC57F8" w:rsidRDefault="00BC57F8" w:rsidP="00BC57F8">
      <w:pPr>
        <w:rPr>
          <w:rFonts w:ascii="Times New Roman" w:hAnsi="Times New Roman" w:cs="Times New Roman"/>
          <w:sz w:val="24"/>
          <w:szCs w:val="24"/>
        </w:rPr>
      </w:pPr>
      <w:r w:rsidRPr="00BC57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F8">
        <w:rPr>
          <w:rFonts w:ascii="Times New Roman" w:hAnsi="Times New Roman" w:cs="Times New Roman"/>
          <w:sz w:val="24"/>
          <w:szCs w:val="24"/>
        </w:rPr>
        <w:t>Risk factors for an MDRO</w:t>
      </w:r>
    </w:p>
    <w:p w14:paraId="3FEDEE40" w14:textId="2AA792F5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Receipt of </w:t>
      </w:r>
      <w:r w:rsidR="00BC57F8">
        <w:rPr>
          <w:rFonts w:ascii="Times New Roman" w:hAnsi="Times New Roman" w:cs="Times New Roman"/>
          <w:sz w:val="24"/>
          <w:szCs w:val="24"/>
        </w:rPr>
        <w:t xml:space="preserve">broad-spectrum </w:t>
      </w:r>
      <w:r w:rsidRPr="001F4DCF">
        <w:rPr>
          <w:rFonts w:ascii="Times New Roman" w:hAnsi="Times New Roman" w:cs="Times New Roman"/>
          <w:sz w:val="24"/>
          <w:szCs w:val="24"/>
        </w:rPr>
        <w:t>antibiotics within the preceding 90 days</w:t>
      </w:r>
    </w:p>
    <w:p w14:paraId="25D9EB5D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Current hospitalization of  ≥ 5 days</w:t>
      </w:r>
    </w:p>
    <w:p w14:paraId="342707A8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High frequency of antibiotic resistance in the patient’s community or in the specific hospital unit</w:t>
      </w:r>
    </w:p>
    <w:p w14:paraId="43642D82" w14:textId="77777777" w:rsidR="00AF1F91" w:rsidRPr="001F4DCF" w:rsidRDefault="00AF1F91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Patients at increased risk for healthcare-associated infections</w:t>
      </w:r>
    </w:p>
    <w:p w14:paraId="7532AEF6" w14:textId="77777777" w:rsidR="00B8584D" w:rsidRPr="001F4DCF" w:rsidRDefault="00B8584D" w:rsidP="00AF1F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Patients who re</w:t>
      </w:r>
      <w:r w:rsidR="00AF1F91" w:rsidRPr="001F4DCF">
        <w:rPr>
          <w:rFonts w:ascii="Times New Roman" w:hAnsi="Times New Roman" w:cs="Times New Roman"/>
          <w:sz w:val="24"/>
          <w:szCs w:val="24"/>
        </w:rPr>
        <w:t>side in a chronic care facility</w:t>
      </w:r>
    </w:p>
    <w:p w14:paraId="346F124C" w14:textId="77777777" w:rsidR="00B8584D" w:rsidRPr="001F4DCF" w:rsidRDefault="00B8584D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hospitalization for ≥2 days during the preceding 90 days</w:t>
      </w:r>
    </w:p>
    <w:p w14:paraId="241DBC10" w14:textId="77777777" w:rsidR="00AF1F91" w:rsidRPr="001F4DCF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chronic dialysis within 30 days</w:t>
      </w:r>
    </w:p>
    <w:p w14:paraId="23C46C1C" w14:textId="77777777" w:rsidR="00AF1F91" w:rsidRPr="001F4DCF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home/residential facility wound care</w:t>
      </w:r>
    </w:p>
    <w:p w14:paraId="41742DC9" w14:textId="77777777" w:rsidR="00B8584D" w:rsidRPr="001F4DCF" w:rsidRDefault="00B8584D" w:rsidP="00AF1F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severe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chronic</w:t>
      </w:r>
      <w:r w:rsidRPr="001F4DCF">
        <w:rPr>
          <w:rFonts w:ascii="Times New Roman" w:hAnsi="Times New Roman" w:cs="Times New Roman"/>
          <w:sz w:val="24"/>
          <w:szCs w:val="24"/>
        </w:rPr>
        <w:t xml:space="preserve"> illness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with poor functional status as defined by activities of daily living score</w:t>
      </w:r>
    </w:p>
    <w:p w14:paraId="18438880" w14:textId="77777777" w:rsidR="00AF1F91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close contact with MDR pathogen</w:t>
      </w:r>
    </w:p>
    <w:p w14:paraId="53629DA1" w14:textId="2540D8DE" w:rsidR="00BC57F8" w:rsidRDefault="00BC57F8" w:rsidP="00BC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Presence of absence of an immunocompromised state including, but not limited to:</w:t>
      </w:r>
    </w:p>
    <w:p w14:paraId="43CC7A2A" w14:textId="12DA2E6F" w:rsidR="00BC57F8" w:rsidRDefault="00BC57F8" w:rsidP="00BC57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</w:t>
      </w:r>
    </w:p>
    <w:p w14:paraId="57340CB3" w14:textId="4D032D31" w:rsidR="00BC57F8" w:rsidRDefault="00BC57F8" w:rsidP="00BC57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Oncologic process on marrow-suppressive chemotherapy</w:t>
      </w:r>
    </w:p>
    <w:p w14:paraId="0DE98E64" w14:textId="49A70D17" w:rsidR="00BC57F8" w:rsidRDefault="00BC57F8" w:rsidP="00BC57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transplant recipient</w:t>
      </w:r>
    </w:p>
    <w:p w14:paraId="28AE16CE" w14:textId="73880B1F" w:rsidR="00BC57F8" w:rsidRDefault="0035275D" w:rsidP="00BC57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Autoimmune disease on high-dose prednisone or equivalent</w:t>
      </w:r>
    </w:p>
    <w:p w14:paraId="451F9182" w14:textId="5C52E262" w:rsidR="0035275D" w:rsidRDefault="0035275D" w:rsidP="00BC57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immunodeficiency</w:t>
      </w:r>
    </w:p>
    <w:p w14:paraId="72C3A11D" w14:textId="3BB2755C" w:rsidR="0035275D" w:rsidRDefault="0035275D" w:rsidP="0035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Suspicion of an intraabdominal source for the infection, including but not limited to:</w:t>
      </w:r>
    </w:p>
    <w:p w14:paraId="484D1BA5" w14:textId="2DFFCBA1" w:rsidR="0035275D" w:rsidRDefault="0035275D" w:rsidP="003527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Perforated viscus</w:t>
      </w:r>
    </w:p>
    <w:p w14:paraId="4933B5CE" w14:textId="7EDFD401" w:rsidR="0035275D" w:rsidRDefault="0035275D" w:rsidP="003527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Appendicitis</w:t>
      </w:r>
    </w:p>
    <w:p w14:paraId="7B3ED972" w14:textId="0FB5D06F" w:rsidR="0035275D" w:rsidRDefault="0035275D" w:rsidP="003527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diff</w:t>
      </w:r>
    </w:p>
    <w:p w14:paraId="4D09F8D5" w14:textId="2C449F26" w:rsidR="0035275D" w:rsidRDefault="0035275D" w:rsidP="003527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Abdominal abscess</w:t>
      </w:r>
    </w:p>
    <w:p w14:paraId="5F9A48A6" w14:textId="4F77EF42" w:rsidR="0035275D" w:rsidRDefault="0035275D" w:rsidP="0035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Suspicion for Toxic-Shock Syndrome (TSS—see below)</w:t>
      </w:r>
    </w:p>
    <w:p w14:paraId="4722A293" w14:textId="77777777" w:rsidR="0035275D" w:rsidRPr="0035275D" w:rsidRDefault="0035275D" w:rsidP="0035275D">
      <w:pPr>
        <w:rPr>
          <w:rFonts w:ascii="Times New Roman" w:hAnsi="Times New Roman" w:cs="Times New Roman"/>
          <w:sz w:val="24"/>
          <w:szCs w:val="24"/>
        </w:rPr>
      </w:pPr>
    </w:p>
    <w:p w14:paraId="74FC1B8B" w14:textId="77777777" w:rsidR="00E47CC7" w:rsidRDefault="00E47C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3019047" w14:textId="7C26BBB5" w:rsidR="003B4FF3" w:rsidRDefault="003B4FF3" w:rsidP="003B4F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Antibiotic Therapies</w:t>
      </w:r>
    </w:p>
    <w:p w14:paraId="314BA319" w14:textId="03034B65" w:rsidR="003B4FF3" w:rsidRPr="00C23E5A" w:rsidRDefault="003B4FF3" w:rsidP="003B4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5A">
        <w:rPr>
          <w:rFonts w:ascii="Times New Roman" w:hAnsi="Times New Roman" w:cs="Times New Roman"/>
          <w:b/>
          <w:sz w:val="24"/>
          <w:szCs w:val="24"/>
        </w:rPr>
        <w:t xml:space="preserve">Previously healthy children with no </w:t>
      </w:r>
      <w:r w:rsidR="00C23E5A">
        <w:rPr>
          <w:rFonts w:ascii="Times New Roman" w:hAnsi="Times New Roman" w:cs="Times New Roman"/>
          <w:b/>
          <w:sz w:val="24"/>
          <w:szCs w:val="24"/>
        </w:rPr>
        <w:t>risk factors</w:t>
      </w:r>
      <w:r w:rsidRPr="00C23E5A">
        <w:rPr>
          <w:rFonts w:ascii="Times New Roman" w:hAnsi="Times New Roman" w:cs="Times New Roman"/>
          <w:b/>
          <w:sz w:val="24"/>
          <w:szCs w:val="24"/>
        </w:rPr>
        <w:t xml:space="preserve"> for MDRO</w:t>
      </w:r>
    </w:p>
    <w:p w14:paraId="2DF51A3E" w14:textId="33BC0EDA" w:rsidR="00C23E5A" w:rsidRPr="00C23E5A" w:rsidRDefault="003B4FF3" w:rsidP="00C23E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E5A">
        <w:rPr>
          <w:rFonts w:ascii="Times New Roman" w:hAnsi="Times New Roman" w:cs="Times New Roman"/>
          <w:sz w:val="24"/>
          <w:szCs w:val="24"/>
        </w:rPr>
        <w:t>Ceftriaxone</w:t>
      </w:r>
      <w:r w:rsidR="00C23E5A" w:rsidRPr="00C23E5A">
        <w:rPr>
          <w:rFonts w:ascii="Times New Roman" w:hAnsi="Times New Roman" w:cs="Times New Roman"/>
          <w:sz w:val="24"/>
          <w:szCs w:val="24"/>
        </w:rPr>
        <w:t xml:space="preserve"> 75-100 mg/kg/day divided q12h</w:t>
      </w:r>
      <w:r w:rsidR="00C23E5A">
        <w:rPr>
          <w:rFonts w:ascii="Times New Roman" w:hAnsi="Times New Roman" w:cs="Times New Roman"/>
          <w:sz w:val="24"/>
          <w:szCs w:val="24"/>
        </w:rPr>
        <w:t xml:space="preserve"> </w:t>
      </w:r>
      <w:r w:rsidR="00CB30D4">
        <w:rPr>
          <w:rFonts w:ascii="Times New Roman" w:hAnsi="Times New Roman" w:cs="Times New Roman"/>
          <w:sz w:val="24"/>
          <w:szCs w:val="24"/>
        </w:rPr>
        <w:t>(higher dose if suspected meningitis)</w:t>
      </w:r>
    </w:p>
    <w:p w14:paraId="2E19B149" w14:textId="1BC091D9" w:rsidR="0096624C" w:rsidRDefault="00C23E5A" w:rsidP="00C23E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+/- </w:t>
      </w:r>
      <w:r w:rsidR="003B4FF3" w:rsidRPr="00C23E5A">
        <w:rPr>
          <w:rFonts w:ascii="Times New Roman" w:hAnsi="Times New Roman" w:cs="Times New Roman"/>
          <w:sz w:val="24"/>
          <w:szCs w:val="24"/>
        </w:rPr>
        <w:t>Vancomycin</w:t>
      </w:r>
      <w:r w:rsidRPr="00C23E5A">
        <w:rPr>
          <w:rFonts w:ascii="Times New Roman" w:hAnsi="Times New Roman" w:cs="Times New Roman"/>
          <w:sz w:val="24"/>
          <w:szCs w:val="24"/>
        </w:rPr>
        <w:t xml:space="preserve"> 15 mg/kg/dose q6h</w:t>
      </w:r>
      <w:r w:rsidR="003B4FF3" w:rsidRPr="00C23E5A">
        <w:rPr>
          <w:rFonts w:ascii="Times New Roman" w:hAnsi="Times New Roman" w:cs="Times New Roman"/>
          <w:sz w:val="24"/>
          <w:szCs w:val="24"/>
        </w:rPr>
        <w:t xml:space="preserve"> if gram-positive infection is possible</w:t>
      </w:r>
    </w:p>
    <w:p w14:paraId="45A7EF7F" w14:textId="7BE97E02" w:rsidR="00C23E5A" w:rsidRDefault="00C23E5A" w:rsidP="00C23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Immunocompromised children</w:t>
      </w:r>
    </w:p>
    <w:p w14:paraId="4793FCE6" w14:textId="4B2F3154" w:rsidR="00C23E5A" w:rsidRDefault="00C23E5A" w:rsidP="00C23E5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mg/kg IV q8h</w:t>
      </w:r>
    </w:p>
    <w:p w14:paraId="6C844020" w14:textId="7E4E6E85" w:rsidR="00C23E5A" w:rsidRDefault="00C23E5A" w:rsidP="00C23E5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Vancomycin 15 mg/kg/dose q6h</w:t>
      </w:r>
    </w:p>
    <w:p w14:paraId="3FA5543A" w14:textId="05B25A1E" w:rsidR="00C23E5A" w:rsidRDefault="00C23E5A" w:rsidP="00C23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Suspicion of intra-abdominal source</w:t>
      </w:r>
    </w:p>
    <w:p w14:paraId="47991FC5" w14:textId="3DD73FAB" w:rsidR="00C23E5A" w:rsidRDefault="00C23E5A" w:rsidP="00C23E5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Piperacillin-</w:t>
      </w:r>
      <w:proofErr w:type="spellStart"/>
      <w:r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mg/kg/dose q6h</w:t>
      </w:r>
    </w:p>
    <w:p w14:paraId="7BE775C1" w14:textId="7F428BDF" w:rsidR="00CB30D4" w:rsidRDefault="00CB30D4" w:rsidP="00C23E5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+/- Vancomycin 15 mg/kg/dose q6h if concern for MRSA</w:t>
      </w:r>
    </w:p>
    <w:p w14:paraId="36FCF1A2" w14:textId="70FB9D68" w:rsidR="00CB30D4" w:rsidRDefault="00CB30D4" w:rsidP="00CB3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Suspicion for TSS</w:t>
      </w:r>
    </w:p>
    <w:p w14:paraId="7FD27FBC" w14:textId="74A070E5" w:rsidR="00CB30D4" w:rsidRDefault="00CB30D4" w:rsidP="00CB30D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Vancomycin 15 mg/kg/dose q6h</w:t>
      </w:r>
    </w:p>
    <w:p w14:paraId="4A17FE79" w14:textId="39B7D68A" w:rsidR="00CB30D4" w:rsidRDefault="00CB30D4" w:rsidP="00CB30D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Clindamycin 40 mg/kg/day divided q8h</w:t>
      </w:r>
    </w:p>
    <w:p w14:paraId="6CB08182" w14:textId="3DF09915" w:rsidR="003B4FF3" w:rsidRPr="00E47CC7" w:rsidRDefault="00CB30D4" w:rsidP="003B4FF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+/- Ceftriaxone 75-100 mg/kg/day divided q12h</w:t>
      </w:r>
    </w:p>
    <w:p w14:paraId="3ABF4498" w14:textId="77777777" w:rsidR="00E47CC7" w:rsidRDefault="00E47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AB30D8B" w14:textId="522D9BCF" w:rsidR="0096624C" w:rsidRPr="001F4DCF" w:rsidRDefault="0096624C" w:rsidP="00B86C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</w:t>
      </w:r>
    </w:p>
    <w:p w14:paraId="321B6709" w14:textId="3770E12F" w:rsidR="0096624C" w:rsidRDefault="0096624C" w:rsidP="0096624C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Definitions</w:t>
      </w:r>
      <w:r w:rsidR="00E36285">
        <w:rPr>
          <w:rFonts w:ascii="Times New Roman" w:hAnsi="Times New Roman" w:cs="Times New Roman"/>
          <w:sz w:val="24"/>
          <w:szCs w:val="24"/>
        </w:rPr>
        <w:t xml:space="preserve"> (</w:t>
      </w:r>
      <w:r w:rsidR="003B4FF3">
        <w:rPr>
          <w:rFonts w:ascii="Times New Roman" w:hAnsi="Times New Roman" w:cs="Times New Roman"/>
          <w:sz w:val="24"/>
          <w:szCs w:val="24"/>
        </w:rPr>
        <w:t>most recent pediatric definitions used by CMS, NY State)</w:t>
      </w:r>
    </w:p>
    <w:p w14:paraId="23154A0C" w14:textId="39E8650D" w:rsidR="003E062A" w:rsidRDefault="003E062A" w:rsidP="003E06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SIRS—2 or more of:</w:t>
      </w:r>
    </w:p>
    <w:p w14:paraId="71420200" w14:textId="1EB52593" w:rsidR="003E062A" w:rsidRDefault="003E062A" w:rsidP="003E06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&gt;38</w:t>
      </w:r>
      <w:r w:rsidR="003B4FF3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C or &lt;36C</w:t>
      </w:r>
    </w:p>
    <w:p w14:paraId="23797FBD" w14:textId="0EFA454C" w:rsidR="003E062A" w:rsidRDefault="003E062A" w:rsidP="003E06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rate &gt;90/min for adults or elevated outside of normal range for age in children</w:t>
      </w:r>
    </w:p>
    <w:p w14:paraId="5E5571C4" w14:textId="13F68B3D" w:rsidR="003E062A" w:rsidRDefault="003E062A" w:rsidP="003E06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rate </w:t>
      </w:r>
      <w:r w:rsidR="006D18FA">
        <w:rPr>
          <w:rFonts w:ascii="Times New Roman" w:hAnsi="Times New Roman" w:cs="Times New Roman"/>
          <w:sz w:val="24"/>
          <w:szCs w:val="24"/>
        </w:rPr>
        <w:t>&gt;20/min for adults or elevated outside of normal range for age in children; OR</w:t>
      </w:r>
      <w:r w:rsidR="00AE6B25">
        <w:rPr>
          <w:rFonts w:ascii="Times New Roman" w:hAnsi="Times New Roman" w:cs="Times New Roman"/>
          <w:sz w:val="24"/>
          <w:szCs w:val="24"/>
        </w:rPr>
        <w:t xml:space="preserve"> need for</w:t>
      </w:r>
      <w:r w:rsidR="006D18FA">
        <w:rPr>
          <w:rFonts w:ascii="Times New Roman" w:hAnsi="Times New Roman" w:cs="Times New Roman"/>
          <w:sz w:val="24"/>
          <w:szCs w:val="24"/>
        </w:rPr>
        <w:t xml:space="preserve"> </w:t>
      </w:r>
      <w:r w:rsidR="00AE6B25">
        <w:rPr>
          <w:rFonts w:ascii="Times New Roman" w:hAnsi="Times New Roman" w:cs="Times New Roman"/>
          <w:sz w:val="24"/>
          <w:szCs w:val="24"/>
        </w:rPr>
        <w:t>mechanical ventilation</w:t>
      </w:r>
    </w:p>
    <w:p w14:paraId="4C310287" w14:textId="0E7C8479" w:rsidR="007550B1" w:rsidRPr="00B167E8" w:rsidRDefault="00AE6B25" w:rsidP="00877BF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Abnormally elevated or depressed WBC count OR &gt;10% bands</w:t>
      </w:r>
    </w:p>
    <w:p w14:paraId="45943089" w14:textId="1051141B" w:rsidR="0096624C" w:rsidRDefault="00B167E8" w:rsidP="00AE6B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Sepsis</w:t>
      </w:r>
    </w:p>
    <w:p w14:paraId="59F2D4BF" w14:textId="4735F08E" w:rsidR="00AE6B25" w:rsidRDefault="00AE6B25" w:rsidP="00AE6B2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SIRS, AND</w:t>
      </w:r>
    </w:p>
    <w:p w14:paraId="6A82F258" w14:textId="1D6D53FE" w:rsidR="00AE6B25" w:rsidRDefault="00AE6B25" w:rsidP="00AE6B2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Suspected or present source of infection</w:t>
      </w:r>
    </w:p>
    <w:p w14:paraId="063C026E" w14:textId="2D322367" w:rsidR="00AE6B25" w:rsidRDefault="003B4FF3" w:rsidP="00AE6B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Sepsis</w:t>
      </w:r>
    </w:p>
    <w:p w14:paraId="4ABCB191" w14:textId="42C232B2" w:rsid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Sepsis, AND dysfunction in 1 or more of the following organ systems as defined below:</w:t>
      </w:r>
    </w:p>
    <w:p w14:paraId="041CB4DF" w14:textId="71256CF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Cardiovascular dysfunction:</w:t>
      </w:r>
    </w:p>
    <w:p w14:paraId="5C537167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Decrease in BP (hypotension) &lt;5th percentile for age or systolic BP &lt;2 SD below normal for age OR</w:t>
      </w:r>
    </w:p>
    <w:p w14:paraId="08326492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 xml:space="preserve">Need for vasoactive drug to maintain BP in normal range (dopamine ≥ 5  µg/kg/min or 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dobutamine</w:t>
      </w:r>
      <w:proofErr w:type="spellEnd"/>
      <w:r w:rsidRPr="003B4FF3">
        <w:rPr>
          <w:rFonts w:ascii="Times New Roman" w:hAnsi="Times New Roman" w:cs="Times New Roman"/>
          <w:sz w:val="24"/>
          <w:szCs w:val="24"/>
        </w:rPr>
        <w:t>, epinephrine, or norepinephrine at any dose) OR</w:t>
      </w:r>
    </w:p>
    <w:p w14:paraId="1048FAF3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Two of the following:</w:t>
      </w:r>
    </w:p>
    <w:p w14:paraId="5AD001CF" w14:textId="77777777" w:rsidR="003B4FF3" w:rsidRPr="003B4FF3" w:rsidRDefault="003B4FF3" w:rsidP="003B4FF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 xml:space="preserve">Unexplained metabolic acidosis: base deficit  &gt;5.0 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3B4FF3">
        <w:rPr>
          <w:rFonts w:ascii="Times New Roman" w:hAnsi="Times New Roman" w:cs="Times New Roman"/>
          <w:sz w:val="24"/>
          <w:szCs w:val="24"/>
        </w:rPr>
        <w:t>/L</w:t>
      </w:r>
    </w:p>
    <w:p w14:paraId="78E2519D" w14:textId="77777777" w:rsidR="003B4FF3" w:rsidRPr="003B4FF3" w:rsidRDefault="003B4FF3" w:rsidP="003B4FF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Increased arterial lactate &gt; 2 times upper limit of normal</w:t>
      </w:r>
    </w:p>
    <w:p w14:paraId="1D61F810" w14:textId="77777777" w:rsidR="003B4FF3" w:rsidRPr="003B4FF3" w:rsidRDefault="003B4FF3" w:rsidP="003B4FF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Oliguria: urine output &lt;0.5 mL/kg/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14:paraId="52763363" w14:textId="77777777" w:rsidR="003B4FF3" w:rsidRPr="003B4FF3" w:rsidRDefault="003B4FF3" w:rsidP="003B4FF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Prolonged capillary refill:  &gt;5 secs</w:t>
      </w:r>
    </w:p>
    <w:p w14:paraId="1B9E31F0" w14:textId="77777777" w:rsidR="003B4FF3" w:rsidRPr="003B4FF3" w:rsidRDefault="003B4FF3" w:rsidP="003B4FF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Core to peripheral temperature gap  &gt;3°C</w:t>
      </w:r>
    </w:p>
    <w:p w14:paraId="1EEE76EB" w14:textId="7777777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Respiratory</w:t>
      </w:r>
    </w:p>
    <w:p w14:paraId="3D54C7B9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PaO2/FIO2 &lt; 300¹ in absence of cyanotic heart disease or preexisting lung disease OR</w:t>
      </w:r>
    </w:p>
    <w:p w14:paraId="787EE071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 xml:space="preserve">PaCO2 &gt;65 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3B4FF3">
        <w:rPr>
          <w:rFonts w:ascii="Times New Roman" w:hAnsi="Times New Roman" w:cs="Times New Roman"/>
          <w:sz w:val="24"/>
          <w:szCs w:val="24"/>
        </w:rPr>
        <w:t xml:space="preserve"> or &gt;20 mmHg over baseline PaCO2 OR</w:t>
      </w:r>
    </w:p>
    <w:p w14:paraId="36753FE5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Proven need for &gt;50% FIO2 to maintain saturation ≥92% OR</w:t>
      </w:r>
    </w:p>
    <w:p w14:paraId="4B20FCF2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 xml:space="preserve">Need for 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nonelective</w:t>
      </w:r>
      <w:proofErr w:type="spellEnd"/>
      <w:r w:rsidRPr="003B4FF3">
        <w:rPr>
          <w:rFonts w:ascii="Times New Roman" w:hAnsi="Times New Roman" w:cs="Times New Roman"/>
          <w:sz w:val="24"/>
          <w:szCs w:val="24"/>
        </w:rPr>
        <w:t xml:space="preserve"> invasive or noninvasive mechanical ventilation</w:t>
      </w:r>
    </w:p>
    <w:p w14:paraId="4B94B810" w14:textId="61ADDDDC" w:rsidR="003B4FF3" w:rsidRPr="003B4FF3" w:rsidRDefault="003B4FF3" w:rsidP="003B4F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4FF3">
        <w:rPr>
          <w:rFonts w:ascii="Times New Roman" w:hAnsi="Times New Roman" w:cs="Times New Roman"/>
          <w:sz w:val="24"/>
          <w:szCs w:val="24"/>
        </w:rPr>
        <w:t xml:space="preserve">¹ </w:t>
      </w:r>
      <w:proofErr w:type="gramStart"/>
      <w:r w:rsidRPr="003B4FF3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3B4FF3">
        <w:rPr>
          <w:rFonts w:ascii="Times New Roman" w:hAnsi="Times New Roman" w:cs="Times New Roman"/>
          <w:sz w:val="24"/>
          <w:szCs w:val="24"/>
        </w:rPr>
        <w:t xml:space="preserve"> meets definition of Acute Lung Injury (ALI). ARDS is the same except PaO2/FiO2 &lt; 200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662A16" w14:textId="7777777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Neurologic</w:t>
      </w:r>
    </w:p>
    <w:p w14:paraId="21695387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Glasgow Coma Score &lt;11 OR</w:t>
      </w:r>
    </w:p>
    <w:p w14:paraId="60B62B19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Acute change in mental status with a decrease in Glasgow Coma Score  ≥3 points from abnormal baseline</w:t>
      </w:r>
    </w:p>
    <w:p w14:paraId="47A03BBE" w14:textId="7777777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Hematologic</w:t>
      </w:r>
    </w:p>
    <w:p w14:paraId="6920C3CF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Platelet count &lt;80,000/mm³ or a decline of 50% in platelet count from highest value recorded over the past 3 days (for chronic hematology/oncology patients) OR</w:t>
      </w:r>
    </w:p>
    <w:p w14:paraId="2904C999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lastRenderedPageBreak/>
        <w:t>International normalized ratio &gt; 2</w:t>
      </w:r>
    </w:p>
    <w:p w14:paraId="37B6AD8D" w14:textId="7777777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Renal</w:t>
      </w:r>
    </w:p>
    <w:p w14:paraId="762CD22F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Serum creatinine  ≥2 times upper limit of normal for age OR</w:t>
      </w:r>
    </w:p>
    <w:p w14:paraId="30885EB8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2-fold increase in baseline creatinine</w:t>
      </w:r>
    </w:p>
    <w:p w14:paraId="7AA6863E" w14:textId="77777777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Hepatic</w:t>
      </w:r>
    </w:p>
    <w:p w14:paraId="6178EAB6" w14:textId="77777777" w:rsidR="003B4FF3" w:rsidRP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Total bilirubin ≥ 4 mg/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3B4FF3">
        <w:rPr>
          <w:rFonts w:ascii="Times New Roman" w:hAnsi="Times New Roman" w:cs="Times New Roman"/>
          <w:sz w:val="24"/>
          <w:szCs w:val="24"/>
        </w:rPr>
        <w:t xml:space="preserve"> (not applicable for newborn) OR</w:t>
      </w:r>
    </w:p>
    <w:p w14:paraId="20AB2541" w14:textId="019D5DAD" w:rsidR="003B4FF3" w:rsidRDefault="003B4FF3" w:rsidP="003B4FF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4FF3">
        <w:rPr>
          <w:rFonts w:ascii="Times New Roman" w:hAnsi="Times New Roman" w:cs="Times New Roman"/>
          <w:sz w:val="24"/>
          <w:szCs w:val="24"/>
        </w:rPr>
        <w:t>ALT 2 times upper limit of normal for age BP</w:t>
      </w:r>
    </w:p>
    <w:p w14:paraId="43D23152" w14:textId="10B1CE39" w:rsidR="003B4FF3" w:rsidRDefault="003B4FF3" w:rsidP="003B4F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Shock</w:t>
      </w:r>
    </w:p>
    <w:p w14:paraId="104107BF" w14:textId="77197817" w:rsid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Sepsis AND</w:t>
      </w:r>
    </w:p>
    <w:p w14:paraId="2721108E" w14:textId="5FAA7405" w:rsidR="003B4FF3" w:rsidRPr="003B4FF3" w:rsidRDefault="003B4FF3" w:rsidP="003B4FF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Cardiovascular dysfunction as defined above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4FF3">
        <w:rPr>
          <w:rFonts w:ascii="Times New Roman" w:hAnsi="Times New Roman" w:cs="Times New Roman"/>
          <w:sz w:val="24"/>
          <w:szCs w:val="24"/>
        </w:rPr>
        <w:t xml:space="preserve">espite administration of isotonic intravenous fluid bolus  ≥40 mL/kg in 1 </w:t>
      </w:r>
      <w:proofErr w:type="spellStart"/>
      <w:r w:rsidRPr="003B4FF3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sectPr w:rsidR="003B4FF3" w:rsidRPr="003B4FF3" w:rsidSect="00AF1F9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7D34" w14:textId="77777777" w:rsidR="00D93A22" w:rsidRDefault="00D93A22" w:rsidP="00E47CC7">
      <w:pPr>
        <w:spacing w:after="0" w:line="240" w:lineRule="auto"/>
      </w:pPr>
      <w:r>
        <w:separator/>
      </w:r>
    </w:p>
  </w:endnote>
  <w:endnote w:type="continuationSeparator" w:id="0">
    <w:p w14:paraId="6DE0504A" w14:textId="77777777" w:rsidR="00D93A22" w:rsidRDefault="00D93A22" w:rsidP="00E4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2179" w14:textId="77777777" w:rsidR="00D93A22" w:rsidRDefault="00D93A22" w:rsidP="00E47CC7">
      <w:pPr>
        <w:spacing w:after="0" w:line="240" w:lineRule="auto"/>
      </w:pPr>
      <w:r>
        <w:separator/>
      </w:r>
    </w:p>
  </w:footnote>
  <w:footnote w:type="continuationSeparator" w:id="0">
    <w:p w14:paraId="6D6B6A44" w14:textId="77777777" w:rsidR="00D93A22" w:rsidRDefault="00D93A22" w:rsidP="00E4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22602365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872828E" w14:textId="2D5A43AA" w:rsidR="00E47CC7" w:rsidRDefault="00E47C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47CC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70F5FF64" w14:textId="77777777" w:rsidR="00E47CC7" w:rsidRDefault="00E4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45E7C"/>
    <w:multiLevelType w:val="hybridMultilevel"/>
    <w:tmpl w:val="120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4F5327"/>
    <w:multiLevelType w:val="hybridMultilevel"/>
    <w:tmpl w:val="7F70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C1D"/>
    <w:multiLevelType w:val="hybridMultilevel"/>
    <w:tmpl w:val="CDE0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AE9"/>
    <w:multiLevelType w:val="hybridMultilevel"/>
    <w:tmpl w:val="BF56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2884"/>
    <w:multiLevelType w:val="hybridMultilevel"/>
    <w:tmpl w:val="2C02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4E74"/>
    <w:multiLevelType w:val="hybridMultilevel"/>
    <w:tmpl w:val="9E54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00DB"/>
    <w:multiLevelType w:val="hybridMultilevel"/>
    <w:tmpl w:val="0A2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04E6"/>
    <w:multiLevelType w:val="hybridMultilevel"/>
    <w:tmpl w:val="0826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2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DE50FC0"/>
    <w:multiLevelType w:val="hybridMultilevel"/>
    <w:tmpl w:val="D93A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F99"/>
    <w:multiLevelType w:val="hybridMultilevel"/>
    <w:tmpl w:val="A8AA263A"/>
    <w:lvl w:ilvl="0" w:tplc="857E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49C"/>
    <w:multiLevelType w:val="hybridMultilevel"/>
    <w:tmpl w:val="B976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70250"/>
    <w:multiLevelType w:val="hybridMultilevel"/>
    <w:tmpl w:val="440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E0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3E6165"/>
    <w:multiLevelType w:val="hybridMultilevel"/>
    <w:tmpl w:val="4310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B329A"/>
    <w:multiLevelType w:val="hybridMultilevel"/>
    <w:tmpl w:val="EBE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7135"/>
    <w:multiLevelType w:val="hybridMultilevel"/>
    <w:tmpl w:val="0CA0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52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2966C2"/>
    <w:multiLevelType w:val="hybridMultilevel"/>
    <w:tmpl w:val="06AE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18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C4"/>
    <w:rsid w:val="00041D51"/>
    <w:rsid w:val="00044740"/>
    <w:rsid w:val="0005312A"/>
    <w:rsid w:val="00055CE5"/>
    <w:rsid w:val="00067F3A"/>
    <w:rsid w:val="00072B65"/>
    <w:rsid w:val="000B4BFC"/>
    <w:rsid w:val="001A60B7"/>
    <w:rsid w:val="001D5C60"/>
    <w:rsid w:val="001F4DCF"/>
    <w:rsid w:val="002E1BEE"/>
    <w:rsid w:val="0035275D"/>
    <w:rsid w:val="00354D1A"/>
    <w:rsid w:val="00365271"/>
    <w:rsid w:val="003B4FF3"/>
    <w:rsid w:val="003C7A65"/>
    <w:rsid w:val="003E062A"/>
    <w:rsid w:val="004218E4"/>
    <w:rsid w:val="004536DB"/>
    <w:rsid w:val="00470955"/>
    <w:rsid w:val="00473BFB"/>
    <w:rsid w:val="00542722"/>
    <w:rsid w:val="00594025"/>
    <w:rsid w:val="00604CC4"/>
    <w:rsid w:val="00635FAD"/>
    <w:rsid w:val="0063700D"/>
    <w:rsid w:val="0065552C"/>
    <w:rsid w:val="00695038"/>
    <w:rsid w:val="006A1DD1"/>
    <w:rsid w:val="006D104A"/>
    <w:rsid w:val="006D18FA"/>
    <w:rsid w:val="007550B1"/>
    <w:rsid w:val="007738AD"/>
    <w:rsid w:val="007D637A"/>
    <w:rsid w:val="00877BFD"/>
    <w:rsid w:val="008C3910"/>
    <w:rsid w:val="008F56C4"/>
    <w:rsid w:val="0096624C"/>
    <w:rsid w:val="009F72AA"/>
    <w:rsid w:val="00AE2935"/>
    <w:rsid w:val="00AE6B25"/>
    <w:rsid w:val="00AF1F91"/>
    <w:rsid w:val="00B167E8"/>
    <w:rsid w:val="00B25634"/>
    <w:rsid w:val="00B60DA5"/>
    <w:rsid w:val="00B8584D"/>
    <w:rsid w:val="00B86C61"/>
    <w:rsid w:val="00BC57F8"/>
    <w:rsid w:val="00BD02D7"/>
    <w:rsid w:val="00C23E5A"/>
    <w:rsid w:val="00C7266A"/>
    <w:rsid w:val="00C8382E"/>
    <w:rsid w:val="00CB30D4"/>
    <w:rsid w:val="00D93723"/>
    <w:rsid w:val="00D93A22"/>
    <w:rsid w:val="00DD2D23"/>
    <w:rsid w:val="00DF2041"/>
    <w:rsid w:val="00E36285"/>
    <w:rsid w:val="00E47CC7"/>
    <w:rsid w:val="00EC7371"/>
    <w:rsid w:val="00F6089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1261"/>
  <w15:chartTrackingRefBased/>
  <w15:docId w15:val="{540FED13-A0F4-42D5-BDAC-0E69154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C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C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6C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6C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6C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6C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6C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6C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6C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6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6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6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6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37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C7"/>
  </w:style>
  <w:style w:type="paragraph" w:styleId="Footer">
    <w:name w:val="footer"/>
    <w:basedOn w:val="Normal"/>
    <w:link w:val="FooterChar"/>
    <w:uiPriority w:val="99"/>
    <w:unhideWhenUsed/>
    <w:rsid w:val="00E4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Hymes, Saul</dc:creator>
  <cp:keywords/>
  <dc:description/>
  <cp:lastModifiedBy>Hymes, Saul</cp:lastModifiedBy>
  <cp:revision>25</cp:revision>
  <dcterms:created xsi:type="dcterms:W3CDTF">2016-04-28T12:50:00Z</dcterms:created>
  <dcterms:modified xsi:type="dcterms:W3CDTF">2016-04-28T14:32:00Z</dcterms:modified>
</cp:coreProperties>
</file>