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74E9" w14:textId="3C2E823D" w:rsidR="00BF0EB3" w:rsidRPr="002009C6" w:rsidRDefault="008F2BBF" w:rsidP="00BF0EB3">
      <w:pPr>
        <w:jc w:val="center"/>
        <w:rPr>
          <w:b/>
          <w:sz w:val="36"/>
          <w:szCs w:val="32"/>
        </w:rPr>
      </w:pPr>
      <w:bookmarkStart w:id="0" w:name="_GoBack"/>
      <w:bookmarkEnd w:id="0"/>
      <w:r w:rsidRPr="00E2437A">
        <w:rPr>
          <w:b/>
          <w:sz w:val="36"/>
          <w:szCs w:val="32"/>
        </w:rPr>
        <w:t>Neonatal</w:t>
      </w:r>
      <w:r w:rsidRPr="002009C6">
        <w:rPr>
          <w:b/>
          <w:sz w:val="36"/>
          <w:szCs w:val="32"/>
        </w:rPr>
        <w:t xml:space="preserve"> ICU: Empiric Anti</w:t>
      </w:r>
      <w:r w:rsidR="00E50484" w:rsidRPr="002009C6">
        <w:rPr>
          <w:b/>
          <w:sz w:val="36"/>
          <w:szCs w:val="32"/>
        </w:rPr>
        <w:t>bacter</w:t>
      </w:r>
      <w:r w:rsidRPr="002009C6">
        <w:rPr>
          <w:b/>
          <w:sz w:val="36"/>
          <w:szCs w:val="32"/>
        </w:rPr>
        <w:t>ial Therapy Guidelines</w:t>
      </w:r>
    </w:p>
    <w:p w14:paraId="6306AF25" w14:textId="08F4B56A" w:rsidR="00BF0EB3" w:rsidRPr="002009C6" w:rsidRDefault="002009C6" w:rsidP="00262ACA">
      <w:pPr>
        <w:jc w:val="center"/>
        <w:rPr>
          <w:b/>
          <w:sz w:val="24"/>
          <w:szCs w:val="32"/>
        </w:rPr>
      </w:pPr>
      <w:r w:rsidRPr="002009C6">
        <w:rPr>
          <w:b/>
          <w:sz w:val="24"/>
          <w:szCs w:val="32"/>
        </w:rPr>
        <w:t xml:space="preserve">It is important to </w:t>
      </w:r>
      <w:r w:rsidR="00BF0EB3" w:rsidRPr="002009C6">
        <w:rPr>
          <w:b/>
          <w:sz w:val="24"/>
          <w:szCs w:val="32"/>
        </w:rPr>
        <w:t xml:space="preserve">re-evaluate antibiotic </w:t>
      </w:r>
      <w:r w:rsidRPr="002009C6">
        <w:rPr>
          <w:b/>
          <w:sz w:val="24"/>
          <w:szCs w:val="32"/>
        </w:rPr>
        <w:t xml:space="preserve">treatment </w:t>
      </w:r>
      <w:r w:rsidR="00BF0EB3" w:rsidRPr="002009C6">
        <w:rPr>
          <w:b/>
          <w:sz w:val="24"/>
          <w:szCs w:val="32"/>
        </w:rPr>
        <w:t>every 12-24 hours based on clinical and laboratory changes</w:t>
      </w:r>
      <w:r w:rsidRPr="002009C6">
        <w:rPr>
          <w:b/>
          <w:sz w:val="24"/>
          <w:szCs w:val="32"/>
        </w:rPr>
        <w:t>. Discussion of antibiotic treatment should occur with every handoff.</w:t>
      </w:r>
    </w:p>
    <w:p w14:paraId="65CD21DD" w14:textId="77777777" w:rsidR="00BF0EB3" w:rsidRDefault="00BF0EB3" w:rsidP="00262AC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64"/>
      </w:tblGrid>
      <w:tr w:rsidR="003041DF" w14:paraId="6D39663A" w14:textId="77777777" w:rsidTr="003C3870">
        <w:tc>
          <w:tcPr>
            <w:tcW w:w="4788" w:type="dxa"/>
          </w:tcPr>
          <w:p w14:paraId="1155DC41" w14:textId="198AA13D" w:rsidR="003128E4" w:rsidRPr="00002247" w:rsidRDefault="00002247">
            <w:pPr>
              <w:rPr>
                <w:b/>
                <w:sz w:val="32"/>
              </w:rPr>
            </w:pPr>
            <w:r w:rsidRPr="00002247">
              <w:rPr>
                <w:b/>
                <w:sz w:val="32"/>
              </w:rPr>
              <w:t xml:space="preserve">1. </w:t>
            </w:r>
            <w:r w:rsidR="003041DF" w:rsidRPr="00002247">
              <w:rPr>
                <w:b/>
                <w:sz w:val="32"/>
              </w:rPr>
              <w:t xml:space="preserve">Suspected early-onset sepsis </w:t>
            </w:r>
            <w:r w:rsidRPr="00002247">
              <w:rPr>
                <w:b/>
                <w:sz w:val="32"/>
              </w:rPr>
              <w:sym w:font="Wingdings" w:char="F0E0"/>
            </w:r>
          </w:p>
          <w:p w14:paraId="691E20AF" w14:textId="3164019F" w:rsidR="0087358D" w:rsidRPr="00002247" w:rsidRDefault="00A21631">
            <w:pPr>
              <w:rPr>
                <w:sz w:val="32"/>
              </w:rPr>
            </w:pPr>
            <w:r w:rsidRPr="00002247">
              <w:rPr>
                <w:b/>
                <w:sz w:val="32"/>
              </w:rPr>
              <w:t>(age</w:t>
            </w:r>
            <w:r w:rsidR="003041DF" w:rsidRPr="00002247">
              <w:rPr>
                <w:b/>
                <w:sz w:val="32"/>
              </w:rPr>
              <w:t xml:space="preserve"> less than 7 days)</w:t>
            </w:r>
          </w:p>
        </w:tc>
        <w:tc>
          <w:tcPr>
            <w:tcW w:w="5364" w:type="dxa"/>
          </w:tcPr>
          <w:p w14:paraId="43D8BF8D" w14:textId="08F87140" w:rsidR="003041DF" w:rsidRPr="00002247" w:rsidRDefault="008F2BBF" w:rsidP="00911E90">
            <w:pPr>
              <w:rPr>
                <w:b/>
                <w:sz w:val="32"/>
                <w:szCs w:val="16"/>
              </w:rPr>
            </w:pPr>
            <w:r w:rsidRPr="00002247">
              <w:rPr>
                <w:rFonts w:cstheme="minorHAnsi"/>
                <w:b/>
                <w:sz w:val="32"/>
              </w:rPr>
              <w:t>a</w:t>
            </w:r>
            <w:r w:rsidR="00892CF0" w:rsidRPr="00002247">
              <w:rPr>
                <w:rFonts w:cstheme="minorHAnsi"/>
                <w:b/>
                <w:sz w:val="32"/>
              </w:rPr>
              <w:t>mpicillin + gentamicin</w:t>
            </w:r>
            <w:r w:rsidR="00E50484" w:rsidRPr="00911E90">
              <w:rPr>
                <w:b/>
                <w:sz w:val="24"/>
                <w:szCs w:val="16"/>
                <w:vertAlign w:val="superscript"/>
              </w:rPr>
              <w:t>(</w:t>
            </w:r>
            <w:r w:rsidR="00892CF0" w:rsidRPr="00911E90">
              <w:rPr>
                <w:b/>
                <w:sz w:val="24"/>
                <w:szCs w:val="16"/>
                <w:vertAlign w:val="superscript"/>
              </w:rPr>
              <w:t>1,2</w:t>
            </w:r>
            <w:r w:rsidR="00E50484" w:rsidRPr="00911E90">
              <w:rPr>
                <w:b/>
                <w:sz w:val="24"/>
                <w:szCs w:val="16"/>
                <w:vertAlign w:val="superscript"/>
              </w:rPr>
              <w:t>)</w:t>
            </w:r>
          </w:p>
        </w:tc>
      </w:tr>
    </w:tbl>
    <w:p w14:paraId="04F71AD2" w14:textId="09113DD7" w:rsidR="003C3870" w:rsidRDefault="00D8795C" w:rsidP="00897618">
      <w:pPr>
        <w:spacing w:after="0"/>
      </w:pPr>
      <w:r>
        <w:rPr>
          <w:noProof/>
        </w:rPr>
        <w:drawing>
          <wp:anchor distT="0" distB="0" distL="114300" distR="114300" simplePos="0" relativeHeight="251659264" behindDoc="1" locked="0" layoutInCell="1" allowOverlap="1" wp14:anchorId="455C9C63" wp14:editId="2D0A4776">
            <wp:simplePos x="0" y="0"/>
            <wp:positionH relativeFrom="column">
              <wp:posOffset>-457200</wp:posOffset>
            </wp:positionH>
            <wp:positionV relativeFrom="paragraph">
              <wp:posOffset>83820</wp:posOffset>
            </wp:positionV>
            <wp:extent cx="7086600" cy="582930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D9156D2" w14:textId="77777777" w:rsidR="003C3870" w:rsidRDefault="003C3870" w:rsidP="00897618">
      <w:pPr>
        <w:spacing w:after="0"/>
      </w:pPr>
    </w:p>
    <w:p w14:paraId="6BBC6B1C" w14:textId="5B5F75D1" w:rsidR="003C3870" w:rsidRPr="00D8795C" w:rsidRDefault="00911E90" w:rsidP="00897618">
      <w:pPr>
        <w:spacing w:after="0"/>
        <w:rPr>
          <w:b/>
          <w:sz w:val="32"/>
          <w:szCs w:val="32"/>
        </w:rPr>
      </w:pPr>
      <w:r>
        <w:rPr>
          <w:b/>
          <w:sz w:val="32"/>
          <w:szCs w:val="32"/>
        </w:rPr>
        <w:t>2. Late Onset:</w:t>
      </w:r>
    </w:p>
    <w:p w14:paraId="3666138C" w14:textId="77777777" w:rsidR="003C3870" w:rsidRDefault="003C3870" w:rsidP="00897618">
      <w:pPr>
        <w:spacing w:after="0"/>
      </w:pPr>
    </w:p>
    <w:p w14:paraId="0508BDCD" w14:textId="77777777" w:rsidR="003C3870" w:rsidRDefault="003C3870" w:rsidP="00897618">
      <w:pPr>
        <w:spacing w:after="0"/>
      </w:pPr>
    </w:p>
    <w:p w14:paraId="3B661014" w14:textId="77777777" w:rsidR="003C3870" w:rsidRDefault="003C3870" w:rsidP="00897618">
      <w:pPr>
        <w:spacing w:after="0"/>
      </w:pPr>
    </w:p>
    <w:p w14:paraId="5583A85B" w14:textId="77777777" w:rsidR="003C3870" w:rsidRDefault="003C3870" w:rsidP="00897618">
      <w:pPr>
        <w:spacing w:after="0"/>
      </w:pPr>
    </w:p>
    <w:p w14:paraId="36DE83C6" w14:textId="253C5D1A" w:rsidR="003C3870" w:rsidRDefault="00741E24" w:rsidP="00741E24">
      <w:pPr>
        <w:tabs>
          <w:tab w:val="left" w:pos="8800"/>
        </w:tabs>
        <w:spacing w:after="0"/>
      </w:pPr>
      <w:r>
        <w:tab/>
      </w:r>
    </w:p>
    <w:p w14:paraId="11721F2B" w14:textId="77777777" w:rsidR="003C3870" w:rsidRDefault="003C3870" w:rsidP="00897618">
      <w:pPr>
        <w:spacing w:after="0"/>
      </w:pPr>
    </w:p>
    <w:p w14:paraId="62227F19" w14:textId="77777777" w:rsidR="003C3870" w:rsidRDefault="003C3870" w:rsidP="00897618">
      <w:pPr>
        <w:spacing w:after="0"/>
      </w:pPr>
    </w:p>
    <w:p w14:paraId="6072D10D" w14:textId="77777777" w:rsidR="003C3870" w:rsidRDefault="003C3870" w:rsidP="00897618">
      <w:pPr>
        <w:spacing w:after="0"/>
      </w:pPr>
    </w:p>
    <w:p w14:paraId="2FCAB9F0" w14:textId="77777777" w:rsidR="003C3870" w:rsidRDefault="003C3870" w:rsidP="00897618">
      <w:pPr>
        <w:spacing w:after="0"/>
      </w:pPr>
    </w:p>
    <w:p w14:paraId="0F4BFA57" w14:textId="77777777" w:rsidR="003C3870" w:rsidRDefault="003C3870" w:rsidP="00897618">
      <w:pPr>
        <w:spacing w:after="0"/>
      </w:pPr>
    </w:p>
    <w:p w14:paraId="70CFA063" w14:textId="77777777" w:rsidR="003C3870" w:rsidRDefault="003C3870" w:rsidP="00741E24">
      <w:pPr>
        <w:spacing w:after="0"/>
        <w:jc w:val="right"/>
      </w:pPr>
    </w:p>
    <w:p w14:paraId="17D3B485" w14:textId="77777777" w:rsidR="00A1324B" w:rsidRDefault="00A1324B" w:rsidP="00897618">
      <w:pPr>
        <w:spacing w:after="0"/>
        <w:rPr>
          <w:sz w:val="24"/>
          <w:szCs w:val="24"/>
        </w:rPr>
      </w:pPr>
    </w:p>
    <w:p w14:paraId="15476D2F" w14:textId="77777777" w:rsidR="00377161" w:rsidRDefault="00377161" w:rsidP="00897618">
      <w:pPr>
        <w:spacing w:after="0"/>
        <w:rPr>
          <w:sz w:val="24"/>
          <w:szCs w:val="24"/>
        </w:rPr>
      </w:pPr>
    </w:p>
    <w:p w14:paraId="70345886" w14:textId="77777777" w:rsidR="00377161" w:rsidRDefault="00377161" w:rsidP="00897618">
      <w:pPr>
        <w:spacing w:after="0"/>
        <w:rPr>
          <w:sz w:val="24"/>
          <w:szCs w:val="24"/>
        </w:rPr>
      </w:pPr>
    </w:p>
    <w:p w14:paraId="23350338" w14:textId="77777777" w:rsidR="00377161" w:rsidRDefault="00377161" w:rsidP="00897618">
      <w:pPr>
        <w:spacing w:after="0"/>
        <w:rPr>
          <w:sz w:val="24"/>
          <w:szCs w:val="24"/>
        </w:rPr>
      </w:pPr>
    </w:p>
    <w:p w14:paraId="43C93C9B" w14:textId="77777777" w:rsidR="00377161" w:rsidRDefault="00377161" w:rsidP="00897618">
      <w:pPr>
        <w:spacing w:after="0"/>
        <w:rPr>
          <w:sz w:val="24"/>
          <w:szCs w:val="24"/>
        </w:rPr>
      </w:pPr>
    </w:p>
    <w:p w14:paraId="1A26E82B" w14:textId="77777777" w:rsidR="00377161" w:rsidRDefault="00377161" w:rsidP="00897618">
      <w:pPr>
        <w:spacing w:after="0"/>
        <w:rPr>
          <w:sz w:val="24"/>
          <w:szCs w:val="24"/>
        </w:rPr>
      </w:pPr>
    </w:p>
    <w:p w14:paraId="61A575A3" w14:textId="77777777" w:rsidR="00377161" w:rsidRDefault="00377161" w:rsidP="00897618">
      <w:pPr>
        <w:spacing w:after="0"/>
        <w:rPr>
          <w:sz w:val="24"/>
          <w:szCs w:val="24"/>
        </w:rPr>
      </w:pPr>
    </w:p>
    <w:p w14:paraId="239EDB03" w14:textId="77777777" w:rsidR="00377161" w:rsidRDefault="00377161" w:rsidP="00897618">
      <w:pPr>
        <w:spacing w:after="0"/>
        <w:rPr>
          <w:sz w:val="24"/>
          <w:szCs w:val="24"/>
        </w:rPr>
      </w:pPr>
    </w:p>
    <w:p w14:paraId="2044D20A" w14:textId="77777777" w:rsidR="00377161" w:rsidRDefault="00377161" w:rsidP="00897618">
      <w:pPr>
        <w:spacing w:after="0"/>
        <w:rPr>
          <w:sz w:val="24"/>
          <w:szCs w:val="24"/>
        </w:rPr>
      </w:pPr>
    </w:p>
    <w:p w14:paraId="6EDAB437" w14:textId="77777777" w:rsidR="000F0CC7" w:rsidRDefault="000F0CC7" w:rsidP="00897618">
      <w:pPr>
        <w:spacing w:after="0"/>
        <w:rPr>
          <w:sz w:val="24"/>
          <w:szCs w:val="24"/>
        </w:rPr>
      </w:pPr>
    </w:p>
    <w:p w14:paraId="61172ACF" w14:textId="77777777" w:rsidR="000F0CC7" w:rsidRDefault="000F0CC7">
      <w:pPr>
        <w:rPr>
          <w:sz w:val="24"/>
          <w:szCs w:val="24"/>
        </w:rPr>
      </w:pPr>
      <w:r>
        <w:rPr>
          <w:sz w:val="24"/>
          <w:szCs w:val="24"/>
        </w:rPr>
        <w:br w:type="page"/>
      </w:r>
    </w:p>
    <w:p w14:paraId="7C421EB2" w14:textId="5740840F" w:rsidR="008F2BBF" w:rsidRPr="00B82626" w:rsidRDefault="008F2BBF" w:rsidP="00897618">
      <w:pPr>
        <w:spacing w:after="0"/>
      </w:pPr>
      <w:r w:rsidRPr="00B82626">
        <w:lastRenderedPageBreak/>
        <w:t>Footnotes:</w:t>
      </w:r>
    </w:p>
    <w:p w14:paraId="0FA0932B" w14:textId="3EAF3A52" w:rsidR="008F2BBF" w:rsidRPr="00B82626" w:rsidRDefault="008F2BBF" w:rsidP="00373701">
      <w:pPr>
        <w:pStyle w:val="ListParagraph"/>
        <w:numPr>
          <w:ilvl w:val="0"/>
          <w:numId w:val="1"/>
        </w:numPr>
      </w:pPr>
      <w:r w:rsidRPr="00B82626">
        <w:rPr>
          <w:u w:val="single"/>
        </w:rPr>
        <w:t>Maternal antibiotic therapy</w:t>
      </w:r>
      <w:r w:rsidR="00082ACF" w:rsidRPr="00B82626">
        <w:rPr>
          <w:u w:val="single"/>
        </w:rPr>
        <w:t>/special cases (immunocompromised, colonized with resistant organism)</w:t>
      </w:r>
      <w:r w:rsidR="00BD524C" w:rsidRPr="00B82626">
        <w:t>:</w:t>
      </w:r>
      <w:r w:rsidRPr="00B82626">
        <w:t xml:space="preserve">  When antibiotics have been administered to the neonate’s mother for 3 or more days prior to delivery or if the mother has recently had a urinary tract infection, consider </w:t>
      </w:r>
      <w:r w:rsidR="00F3253B" w:rsidRPr="00B82626">
        <w:t xml:space="preserve">use </w:t>
      </w:r>
      <w:r w:rsidRPr="00B82626">
        <w:t xml:space="preserve">of </w:t>
      </w:r>
      <w:proofErr w:type="spellStart"/>
      <w:r w:rsidRPr="00B82626">
        <w:t>cefotaxime</w:t>
      </w:r>
      <w:proofErr w:type="spellEnd"/>
      <w:r w:rsidR="00F3253B" w:rsidRPr="00B82626">
        <w:t xml:space="preserve"> (instead of gentamicin)</w:t>
      </w:r>
      <w:r w:rsidRPr="00B82626">
        <w:t xml:space="preserve"> due to the possibility of infection with an ampicillin- and gentamicin- resistant Gram-negative bacillus.</w:t>
      </w:r>
      <w:r w:rsidR="00082ACF" w:rsidRPr="00B82626">
        <w:t xml:space="preserve"> Be sure to review the mother’s </w:t>
      </w:r>
      <w:proofErr w:type="spellStart"/>
      <w:r w:rsidR="00082ACF" w:rsidRPr="00B82626">
        <w:t>antibiogram</w:t>
      </w:r>
      <w:proofErr w:type="spellEnd"/>
      <w:r w:rsidR="00082ACF" w:rsidRPr="00B82626">
        <w:t xml:space="preserve"> and call Pediatric Infectious Diseases </w:t>
      </w:r>
      <w:r w:rsidR="002009C6" w:rsidRPr="00B82626">
        <w:t>for specific cases</w:t>
      </w:r>
      <w:r w:rsidR="00F3253B" w:rsidRPr="00B82626">
        <w:t xml:space="preserve"> with more resistant infections</w:t>
      </w:r>
      <w:r w:rsidR="00082ACF" w:rsidRPr="00B82626">
        <w:t>.</w:t>
      </w:r>
    </w:p>
    <w:p w14:paraId="1E3A9FE1" w14:textId="220226DB" w:rsidR="008F2BBF" w:rsidRPr="00B82626" w:rsidRDefault="008F2BBF" w:rsidP="00173541">
      <w:pPr>
        <w:pStyle w:val="ListParagraph"/>
        <w:numPr>
          <w:ilvl w:val="0"/>
          <w:numId w:val="1"/>
        </w:numPr>
      </w:pPr>
      <w:r w:rsidRPr="00B82626">
        <w:rPr>
          <w:u w:val="single"/>
        </w:rPr>
        <w:t>Early-onset meningitis</w:t>
      </w:r>
      <w:r w:rsidR="00BD524C" w:rsidRPr="00B82626">
        <w:t>:</w:t>
      </w:r>
      <w:r w:rsidRPr="00B82626">
        <w:t xml:space="preserve">  </w:t>
      </w:r>
      <w:r w:rsidR="00373701" w:rsidRPr="00B82626">
        <w:t>Ampicillin</w:t>
      </w:r>
      <w:r w:rsidRPr="00B82626">
        <w:t xml:space="preserve"> + gentamicin </w:t>
      </w:r>
      <w:r w:rsidR="00DB4270" w:rsidRPr="00B82626">
        <w:t>are</w:t>
      </w:r>
      <w:r w:rsidRPr="00B82626">
        <w:t xml:space="preserve"> optimal for empiric th</w:t>
      </w:r>
      <w:r w:rsidR="005D1A25" w:rsidRPr="00B82626">
        <w:t xml:space="preserve">erapy of suspected Group B </w:t>
      </w:r>
      <w:r w:rsidRPr="00B82626">
        <w:t>strept</w:t>
      </w:r>
      <w:r w:rsidR="005D1A25" w:rsidRPr="00B82626">
        <w:t xml:space="preserve">ococci </w:t>
      </w:r>
      <w:r w:rsidR="00373701" w:rsidRPr="00B82626">
        <w:t xml:space="preserve">or </w:t>
      </w:r>
      <w:r w:rsidR="00373701" w:rsidRPr="00B82626">
        <w:rPr>
          <w:i/>
        </w:rPr>
        <w:t>Listeria meningitis</w:t>
      </w:r>
      <w:r w:rsidR="00364701" w:rsidRPr="00B82626">
        <w:t xml:space="preserve"> and should be continued if confir</w:t>
      </w:r>
      <w:r w:rsidR="00225DA0" w:rsidRPr="00B82626">
        <w:t xml:space="preserve">med and an ID consult called to </w:t>
      </w:r>
      <w:r w:rsidR="002009C6" w:rsidRPr="00B82626">
        <w:t>help optimize treatment</w:t>
      </w:r>
      <w:r w:rsidR="00373701" w:rsidRPr="00B82626">
        <w:t>.</w:t>
      </w:r>
      <w:r w:rsidR="00E50484" w:rsidRPr="00B82626">
        <w:t xml:space="preserve"> If </w:t>
      </w:r>
      <w:r w:rsidR="00B82626" w:rsidRPr="00B82626">
        <w:t xml:space="preserve">a </w:t>
      </w:r>
      <w:r w:rsidR="00E50484" w:rsidRPr="00B82626">
        <w:t>gram-</w:t>
      </w:r>
      <w:r w:rsidR="00364701" w:rsidRPr="00B82626">
        <w:t xml:space="preserve">negative organism </w:t>
      </w:r>
      <w:r w:rsidR="009F1F95" w:rsidRPr="00B82626">
        <w:t xml:space="preserve">is </w:t>
      </w:r>
      <w:r w:rsidR="00364701" w:rsidRPr="00B82626">
        <w:t>identified then change therapy as appropriate to avoid gentamicin toxicities</w:t>
      </w:r>
      <w:r w:rsidR="00173541" w:rsidRPr="00B82626">
        <w:t xml:space="preserve"> and to cover appropriately, given sensitivities. </w:t>
      </w:r>
      <w:r w:rsidR="00D7121C" w:rsidRPr="00B82626">
        <w:t>(</w:t>
      </w:r>
      <w:hyperlink r:id="rId13" w:history="1">
        <w:r w:rsidR="002773C5" w:rsidRPr="00B82626">
          <w:rPr>
            <w:rStyle w:val="Hyperlink"/>
          </w:rPr>
          <w:t>http://www.ncbi.nlm.nih.gov/pubmed/20539251</w:t>
        </w:r>
      </w:hyperlink>
      <w:r w:rsidR="00D7121C" w:rsidRPr="00B82626">
        <w:t>)</w:t>
      </w:r>
    </w:p>
    <w:p w14:paraId="4A144A9D" w14:textId="3BC38E32" w:rsidR="002773C5" w:rsidRPr="00B82626" w:rsidRDefault="002773C5" w:rsidP="00173541">
      <w:pPr>
        <w:pStyle w:val="ListParagraph"/>
        <w:numPr>
          <w:ilvl w:val="0"/>
          <w:numId w:val="1"/>
        </w:numPr>
      </w:pPr>
      <w:r w:rsidRPr="00B82626">
        <w:rPr>
          <w:u w:val="single"/>
        </w:rPr>
        <w:t>Suspected intra-abdominal infection</w:t>
      </w:r>
      <w:r w:rsidR="00BD524C" w:rsidRPr="00B82626">
        <w:t>:</w:t>
      </w:r>
      <w:r w:rsidRPr="00B82626">
        <w:t xml:space="preserve"> This applies to early AND late-onset sepsis and would include stage 2 NEC or greater OR other suspected intra-abdominal pathology (po</w:t>
      </w:r>
      <w:r w:rsidR="00A1324B" w:rsidRPr="00B82626">
        <w:t>st-operative infection, perforation</w:t>
      </w:r>
      <w:r w:rsidRPr="00B82626">
        <w:t>, etc.)</w:t>
      </w:r>
    </w:p>
    <w:p w14:paraId="35D30746" w14:textId="382C3040" w:rsidR="00BF0EB3" w:rsidRPr="00B82626" w:rsidRDefault="00B82626" w:rsidP="00373701">
      <w:pPr>
        <w:pStyle w:val="ListParagraph"/>
        <w:numPr>
          <w:ilvl w:val="0"/>
          <w:numId w:val="1"/>
        </w:numPr>
      </w:pPr>
      <w:r>
        <w:rPr>
          <w:u w:val="single"/>
        </w:rPr>
        <w:t>Use of v</w:t>
      </w:r>
      <w:r w:rsidR="00BF0EB3" w:rsidRPr="00B82626">
        <w:rPr>
          <w:u w:val="single"/>
        </w:rPr>
        <w:t>ancomycin</w:t>
      </w:r>
      <w:r w:rsidR="00BD524C" w:rsidRPr="00B82626">
        <w:t>:</w:t>
      </w:r>
      <w:r w:rsidR="00BF0EB3" w:rsidRPr="00B82626">
        <w:t xml:space="preserve"> </w:t>
      </w:r>
      <w:r w:rsidR="001B2103" w:rsidRPr="00B82626">
        <w:t xml:space="preserve"> </w:t>
      </w:r>
      <w:r>
        <w:t>V</w:t>
      </w:r>
      <w:r w:rsidR="00BF0EB3" w:rsidRPr="00B82626">
        <w:t xml:space="preserve">ancomycin is indicated for Late-Onset Sepsis (LOS) if there is a </w:t>
      </w:r>
      <w:r w:rsidR="001B2103" w:rsidRPr="00B82626">
        <w:t xml:space="preserve">deep </w:t>
      </w:r>
      <w:r w:rsidR="00BF0EB3" w:rsidRPr="00B82626">
        <w:t>line present</w:t>
      </w:r>
      <w:r w:rsidR="001B2103" w:rsidRPr="00B82626">
        <w:t xml:space="preserve"> (eg. PICC)</w:t>
      </w:r>
      <w:r w:rsidR="00BF0EB3" w:rsidRPr="00B82626">
        <w:t xml:space="preserve">, </w:t>
      </w:r>
      <w:r w:rsidR="001B2103" w:rsidRPr="00B82626">
        <w:t xml:space="preserve">if there were recent </w:t>
      </w:r>
      <w:r w:rsidR="00BF0EB3" w:rsidRPr="00B82626">
        <w:t xml:space="preserve">recurrent IV attempts, or any suspicion of or evidence of skin or skin-structure infection (SSSI). If </w:t>
      </w:r>
      <w:r w:rsidR="00BF0EB3" w:rsidRPr="00B82626">
        <w:rPr>
          <w:u w:val="single"/>
        </w:rPr>
        <w:t>none</w:t>
      </w:r>
      <w:r w:rsidR="00BF0EB3" w:rsidRPr="00B82626">
        <w:t xml:space="preserve"> of these is present, ampicillin and gentamicin remains acceptable treatment for </w:t>
      </w:r>
      <w:r w:rsidR="00E50484" w:rsidRPr="00B82626">
        <w:t>LOS</w:t>
      </w:r>
      <w:r w:rsidR="00BF0EB3" w:rsidRPr="00B82626">
        <w:t>.</w:t>
      </w:r>
      <w:r w:rsidR="00E50484" w:rsidRPr="00B82626">
        <w:t xml:space="preserve"> Re-evaluate based on clinical status and growth of cultures.</w:t>
      </w:r>
    </w:p>
    <w:p w14:paraId="077F34A4" w14:textId="6F972D21" w:rsidR="008F2BBF" w:rsidRPr="00B82626" w:rsidRDefault="008F2BBF" w:rsidP="00373701">
      <w:pPr>
        <w:pStyle w:val="ListParagraph"/>
        <w:numPr>
          <w:ilvl w:val="0"/>
          <w:numId w:val="1"/>
        </w:numPr>
      </w:pPr>
      <w:r w:rsidRPr="00B82626">
        <w:rPr>
          <w:u w:val="single"/>
        </w:rPr>
        <w:t>Late-onset meningitis</w:t>
      </w:r>
      <w:r w:rsidR="00BD524C" w:rsidRPr="00B82626">
        <w:t>:</w:t>
      </w:r>
      <w:r w:rsidRPr="00B82626">
        <w:t xml:space="preserve">  When meningitis is proven or highly suspec</w:t>
      </w:r>
      <w:r w:rsidR="00373701" w:rsidRPr="00B82626">
        <w:t>ted in a baby with nosocomial la</w:t>
      </w:r>
      <w:r w:rsidRPr="00B82626">
        <w:t>te-on</w:t>
      </w:r>
      <w:r w:rsidR="005D1A25" w:rsidRPr="00B82626">
        <w:t xml:space="preserve">set sepsis, administer </w:t>
      </w:r>
      <w:proofErr w:type="spellStart"/>
      <w:r w:rsidR="005D1A25" w:rsidRPr="00B82626">
        <w:t>cef</w:t>
      </w:r>
      <w:r w:rsidR="00C824B3" w:rsidRPr="00B82626">
        <w:t>otax</w:t>
      </w:r>
      <w:r w:rsidR="009F1F95" w:rsidRPr="00B82626">
        <w:t>i</w:t>
      </w:r>
      <w:r w:rsidR="00C824B3" w:rsidRPr="00B82626">
        <w:t>me</w:t>
      </w:r>
      <w:proofErr w:type="spellEnd"/>
      <w:r w:rsidR="005D1A25" w:rsidRPr="00B82626">
        <w:t xml:space="preserve"> as first line. </w:t>
      </w:r>
      <w:r w:rsidRPr="00B82626">
        <w:t>This choice is based upon activity against nosocomial gram-negative bacilli (</w:t>
      </w:r>
      <w:r w:rsidRPr="00B82626">
        <w:rPr>
          <w:i/>
        </w:rPr>
        <w:t>as well as Group B streptococci, Strep</w:t>
      </w:r>
      <w:r w:rsidR="00B46370" w:rsidRPr="00B82626">
        <w:rPr>
          <w:i/>
        </w:rPr>
        <w:t xml:space="preserve">tococcus </w:t>
      </w:r>
      <w:proofErr w:type="spellStart"/>
      <w:r w:rsidR="00B46370" w:rsidRPr="00B82626">
        <w:rPr>
          <w:i/>
        </w:rPr>
        <w:t>pneumoniae</w:t>
      </w:r>
      <w:proofErr w:type="spellEnd"/>
      <w:r w:rsidR="00B46370" w:rsidRPr="00B82626">
        <w:rPr>
          <w:i/>
        </w:rPr>
        <w:t xml:space="preserve">, </w:t>
      </w:r>
      <w:proofErr w:type="spellStart"/>
      <w:r w:rsidR="00B46370" w:rsidRPr="00B82626">
        <w:rPr>
          <w:i/>
        </w:rPr>
        <w:t>Neisseria</w:t>
      </w:r>
      <w:proofErr w:type="spellEnd"/>
      <w:r w:rsidR="00B46370" w:rsidRPr="00B82626">
        <w:rPr>
          <w:i/>
        </w:rPr>
        <w:t xml:space="preserve"> </w:t>
      </w:r>
      <w:proofErr w:type="spellStart"/>
      <w:r w:rsidR="00B46370" w:rsidRPr="00B82626">
        <w:rPr>
          <w:i/>
        </w:rPr>
        <w:t>m</w:t>
      </w:r>
      <w:r w:rsidRPr="00B82626">
        <w:rPr>
          <w:i/>
        </w:rPr>
        <w:t>eningitidis</w:t>
      </w:r>
      <w:proofErr w:type="spellEnd"/>
      <w:r w:rsidRPr="00B82626">
        <w:rPr>
          <w:i/>
        </w:rPr>
        <w:t>)</w:t>
      </w:r>
      <w:r w:rsidR="00C824B3" w:rsidRPr="00B82626">
        <w:t xml:space="preserve">. </w:t>
      </w:r>
      <w:r w:rsidR="00647753" w:rsidRPr="00B82626">
        <w:t xml:space="preserve">If </w:t>
      </w:r>
      <w:r w:rsidR="00C830CF" w:rsidRPr="00B82626">
        <w:rPr>
          <w:i/>
        </w:rPr>
        <w:t>Listeria</w:t>
      </w:r>
      <w:r w:rsidR="00647753" w:rsidRPr="00B82626">
        <w:rPr>
          <w:i/>
        </w:rPr>
        <w:t xml:space="preserve"> </w:t>
      </w:r>
      <w:proofErr w:type="spellStart"/>
      <w:r w:rsidR="00647753" w:rsidRPr="00B82626">
        <w:rPr>
          <w:i/>
        </w:rPr>
        <w:t>monocytogenes</w:t>
      </w:r>
      <w:proofErr w:type="spellEnd"/>
      <w:r w:rsidR="00647753" w:rsidRPr="00B82626">
        <w:rPr>
          <w:i/>
        </w:rPr>
        <w:t xml:space="preserve"> </w:t>
      </w:r>
      <w:r w:rsidR="00647753" w:rsidRPr="00B82626">
        <w:t>is suspected (e.g., Gram-positive bacilli seen on CSF gram-</w:t>
      </w:r>
      <w:r w:rsidR="00373701" w:rsidRPr="00B82626">
        <w:t>stained</w:t>
      </w:r>
      <w:r w:rsidR="00647753" w:rsidRPr="00B82626">
        <w:t xml:space="preserve"> smear), ampicillin should be added.  </w:t>
      </w:r>
      <w:r w:rsidR="001B2103" w:rsidRPr="00B82626">
        <w:t xml:space="preserve">Therapy for bacterial meningitis should be changed to an appropriate narrower spectrum agent (e.g., penicillin for Group B streptococci; </w:t>
      </w:r>
      <w:proofErr w:type="spellStart"/>
      <w:r w:rsidR="001B2103" w:rsidRPr="00B82626">
        <w:t>cefotaxime</w:t>
      </w:r>
      <w:proofErr w:type="spellEnd"/>
      <w:r w:rsidR="001B2103" w:rsidRPr="00B82626">
        <w:t xml:space="preserve"> for susceptible </w:t>
      </w:r>
      <w:r w:rsidR="001B2103" w:rsidRPr="00B82626">
        <w:rPr>
          <w:i/>
        </w:rPr>
        <w:t>E. coli</w:t>
      </w:r>
      <w:r w:rsidR="001B2103" w:rsidRPr="00B82626">
        <w:t>) once CSF culture results is</w:t>
      </w:r>
      <w:r w:rsidR="00647753" w:rsidRPr="00B82626">
        <w:t xml:space="preserve"> available</w:t>
      </w:r>
      <w:r w:rsidR="008856B9" w:rsidRPr="00B82626">
        <w:t>.</w:t>
      </w:r>
      <w:r w:rsidR="001B2103" w:rsidRPr="00B82626">
        <w:t xml:space="preserve"> ID consults are recommended with positive CSF cultures.</w:t>
      </w:r>
    </w:p>
    <w:p w14:paraId="13E50374" w14:textId="4836735D" w:rsidR="00926ACB" w:rsidRPr="00B82626" w:rsidRDefault="00BD524C" w:rsidP="00741E24">
      <w:pPr>
        <w:pStyle w:val="ListParagraph"/>
        <w:numPr>
          <w:ilvl w:val="0"/>
          <w:numId w:val="1"/>
        </w:numPr>
      </w:pPr>
      <w:r w:rsidRPr="00B82626">
        <w:rPr>
          <w:u w:val="single"/>
        </w:rPr>
        <w:t>Resistant organisms</w:t>
      </w:r>
      <w:r w:rsidRPr="00B82626">
        <w:t xml:space="preserve">: </w:t>
      </w:r>
      <w:r w:rsidR="00647753" w:rsidRPr="00B82626">
        <w:t>Empiric antimicrobial therapy for an infant known</w:t>
      </w:r>
      <w:r w:rsidR="009F1F95" w:rsidRPr="00B82626">
        <w:t>/suspected</w:t>
      </w:r>
      <w:r w:rsidR="00647753" w:rsidRPr="00B82626">
        <w:t xml:space="preserve"> to be colonized with or convalescing from a recent infection with an antimicrobial-resistant pathogen, e.g., a gentamicin-resistant </w:t>
      </w:r>
      <w:r w:rsidR="00647753" w:rsidRPr="00B82626">
        <w:rPr>
          <w:i/>
        </w:rPr>
        <w:t xml:space="preserve">E. </w:t>
      </w:r>
      <w:r w:rsidR="00B46370" w:rsidRPr="00B82626">
        <w:rPr>
          <w:i/>
        </w:rPr>
        <w:t>c</w:t>
      </w:r>
      <w:r w:rsidR="00647753" w:rsidRPr="00B82626">
        <w:rPr>
          <w:i/>
        </w:rPr>
        <w:t>oli</w:t>
      </w:r>
      <w:r w:rsidR="00647753" w:rsidRPr="00B82626">
        <w:t>, should include an agent to which the pathogen is susceptible.</w:t>
      </w:r>
      <w:r w:rsidR="00F243BF" w:rsidRPr="00B82626">
        <w:t xml:space="preserve"> </w:t>
      </w:r>
    </w:p>
    <w:p w14:paraId="0DF01AB5" w14:textId="6E470F80" w:rsidR="003D4817" w:rsidRPr="00B82626" w:rsidRDefault="00BD524C" w:rsidP="003D4817">
      <w:pPr>
        <w:pStyle w:val="ListParagraph"/>
        <w:numPr>
          <w:ilvl w:val="0"/>
          <w:numId w:val="1"/>
        </w:numPr>
      </w:pPr>
      <w:r w:rsidRPr="00B82626">
        <w:rPr>
          <w:u w:val="single"/>
        </w:rPr>
        <w:t xml:space="preserve">Use of </w:t>
      </w:r>
      <w:r w:rsidR="00752F92" w:rsidRPr="00B82626">
        <w:rPr>
          <w:u w:val="single"/>
        </w:rPr>
        <w:t xml:space="preserve">nephrotoxic antibiotics with </w:t>
      </w:r>
      <w:r w:rsidR="00B82626">
        <w:rPr>
          <w:u w:val="single"/>
        </w:rPr>
        <w:t>v</w:t>
      </w:r>
      <w:r w:rsidRPr="00B82626">
        <w:rPr>
          <w:u w:val="single"/>
        </w:rPr>
        <w:t>anc</w:t>
      </w:r>
      <w:r w:rsidR="00F243BF" w:rsidRPr="00B82626">
        <w:rPr>
          <w:u w:val="single"/>
        </w:rPr>
        <w:t>omycin</w:t>
      </w:r>
      <w:r w:rsidRPr="00B82626">
        <w:t xml:space="preserve">: </w:t>
      </w:r>
      <w:r w:rsidR="00752F92" w:rsidRPr="00B82626">
        <w:t xml:space="preserve">In cases of </w:t>
      </w:r>
      <w:r w:rsidRPr="00B82626">
        <w:t xml:space="preserve">AKI or CKD, the combination of </w:t>
      </w:r>
      <w:proofErr w:type="spellStart"/>
      <w:r w:rsidRPr="00B82626">
        <w:t>Zosyn</w:t>
      </w:r>
      <w:proofErr w:type="spellEnd"/>
      <w:r w:rsidRPr="00B82626">
        <w:t xml:space="preserve"> </w:t>
      </w:r>
      <w:r w:rsidR="00B82626">
        <w:t>+ vancomycin or g</w:t>
      </w:r>
      <w:r w:rsidR="00B82626" w:rsidRPr="00B82626">
        <w:t>entamicin +</w:t>
      </w:r>
      <w:r w:rsidR="00B82626">
        <w:t xml:space="preserve"> v</w:t>
      </w:r>
      <w:r w:rsidR="00F243BF" w:rsidRPr="00B82626">
        <w:t xml:space="preserve">ancomycin </w:t>
      </w:r>
      <w:r w:rsidR="00B82626" w:rsidRPr="00B82626">
        <w:t>should</w:t>
      </w:r>
      <w:r w:rsidR="00752F92" w:rsidRPr="00B82626">
        <w:t xml:space="preserve"> </w:t>
      </w:r>
      <w:r w:rsidR="00F243BF" w:rsidRPr="00B82626">
        <w:t xml:space="preserve">be avoided because of the potential for </w:t>
      </w:r>
      <w:r w:rsidRPr="00B82626">
        <w:t xml:space="preserve">synergistic nephrotoxic effects. </w:t>
      </w:r>
      <w:r w:rsidR="00F243BF" w:rsidRPr="00B82626">
        <w:t xml:space="preserve">Use </w:t>
      </w:r>
      <w:proofErr w:type="spellStart"/>
      <w:r w:rsidRPr="00B82626">
        <w:t>cefepime</w:t>
      </w:r>
      <w:proofErr w:type="spellEnd"/>
      <w:r w:rsidRPr="00B82626">
        <w:t>/</w:t>
      </w:r>
      <w:proofErr w:type="spellStart"/>
      <w:r w:rsidRPr="00B82626">
        <w:t>flagyl</w:t>
      </w:r>
      <w:proofErr w:type="spellEnd"/>
      <w:r w:rsidRPr="00B82626">
        <w:t xml:space="preserve"> </w:t>
      </w:r>
      <w:r w:rsidR="00F243BF" w:rsidRPr="00B82626">
        <w:t xml:space="preserve">in place of </w:t>
      </w:r>
      <w:proofErr w:type="spellStart"/>
      <w:r w:rsidR="00F243BF" w:rsidRPr="00B82626">
        <w:t>Z</w:t>
      </w:r>
      <w:r w:rsidRPr="00B82626">
        <w:t>osyn</w:t>
      </w:r>
      <w:proofErr w:type="spellEnd"/>
      <w:r w:rsidR="00752F92" w:rsidRPr="00B82626">
        <w:t xml:space="preserve"> or </w:t>
      </w:r>
      <w:proofErr w:type="spellStart"/>
      <w:r w:rsidR="00B82626" w:rsidRPr="00B82626">
        <w:t>cefotaxime</w:t>
      </w:r>
      <w:proofErr w:type="spellEnd"/>
      <w:r w:rsidR="00B82626" w:rsidRPr="00B82626">
        <w:t xml:space="preserve"> in place of </w:t>
      </w:r>
      <w:r w:rsidR="00752F92" w:rsidRPr="00B82626">
        <w:t xml:space="preserve">Gentamicin </w:t>
      </w:r>
      <w:r w:rsidR="00F243BF" w:rsidRPr="00B82626">
        <w:t xml:space="preserve">if </w:t>
      </w:r>
      <w:r w:rsidR="00B82626">
        <w:t>v</w:t>
      </w:r>
      <w:r w:rsidRPr="00B82626">
        <w:t xml:space="preserve">ancomycin </w:t>
      </w:r>
      <w:r w:rsidR="00752F92" w:rsidRPr="00B82626">
        <w:t>must be prescribed</w:t>
      </w:r>
      <w:r w:rsidRPr="00B82626">
        <w:t>.</w:t>
      </w:r>
      <w:r w:rsidR="00B82626">
        <w:t xml:space="preserve"> If using v</w:t>
      </w:r>
      <w:r w:rsidR="00B82626" w:rsidRPr="00B82626">
        <w:t>ancomycin or Gentamicin in renal compromise, dosing will need to be adjusted for adequate levels. Call Pediatric ID or pharmacy for assistance with this.</w:t>
      </w:r>
    </w:p>
    <w:p w14:paraId="6516E662" w14:textId="77777777" w:rsidR="00B82626" w:rsidRDefault="00B82626" w:rsidP="003D4817">
      <w:pPr>
        <w:rPr>
          <w:rFonts w:cstheme="minorHAnsi"/>
          <w:b/>
        </w:rPr>
      </w:pPr>
    </w:p>
    <w:p w14:paraId="3A913291" w14:textId="77777777" w:rsidR="00B82626" w:rsidRDefault="00B82626" w:rsidP="003D4817">
      <w:pPr>
        <w:rPr>
          <w:rFonts w:cstheme="minorHAnsi"/>
          <w:b/>
        </w:rPr>
      </w:pPr>
    </w:p>
    <w:p w14:paraId="53C22F76" w14:textId="4F3D4EF8" w:rsidR="00373701" w:rsidRPr="00B82626" w:rsidRDefault="00C835EF" w:rsidP="003D4817">
      <w:r w:rsidRPr="00B82626">
        <w:rPr>
          <w:rFonts w:cstheme="minorHAnsi"/>
          <w:b/>
        </w:rPr>
        <w:lastRenderedPageBreak/>
        <w:t>Follow-up antibiotic therapy guidelines</w:t>
      </w:r>
      <w:r w:rsidR="00373701" w:rsidRPr="00B82626">
        <w:rPr>
          <w:rFonts w:cstheme="minorHAnsi"/>
          <w:b/>
        </w:rPr>
        <w:t>:</w:t>
      </w:r>
    </w:p>
    <w:p w14:paraId="5BA3B628" w14:textId="338E2F74" w:rsidR="00373701" w:rsidRPr="00B82626" w:rsidRDefault="00C835EF" w:rsidP="00C60C3E">
      <w:pPr>
        <w:pStyle w:val="ListParagraph"/>
        <w:numPr>
          <w:ilvl w:val="0"/>
          <w:numId w:val="2"/>
        </w:numPr>
        <w:rPr>
          <w:rFonts w:cstheme="minorHAnsi"/>
        </w:rPr>
      </w:pPr>
      <w:r w:rsidRPr="00B82626">
        <w:rPr>
          <w:rFonts w:cstheme="minorHAnsi"/>
        </w:rPr>
        <w:t>These g</w:t>
      </w:r>
      <w:r w:rsidR="00373701" w:rsidRPr="00B82626">
        <w:rPr>
          <w:rFonts w:cstheme="minorHAnsi"/>
        </w:rPr>
        <w:t xml:space="preserve">uidelines are for </w:t>
      </w:r>
      <w:r w:rsidR="00373701" w:rsidRPr="00B82626">
        <w:rPr>
          <w:rFonts w:cstheme="minorHAnsi"/>
          <w:i/>
        </w:rPr>
        <w:t>empiric</w:t>
      </w:r>
      <w:r w:rsidR="00373701" w:rsidRPr="00B82626">
        <w:rPr>
          <w:rFonts w:cstheme="minorHAnsi"/>
        </w:rPr>
        <w:t xml:space="preserve"> therapy.  Once culture results have been obtained, antimicrobial coverage should be modified to the</w:t>
      </w:r>
      <w:r w:rsidR="00D52058" w:rsidRPr="00B82626">
        <w:rPr>
          <w:rFonts w:cstheme="minorHAnsi"/>
        </w:rPr>
        <w:t xml:space="preserve"> appropriate most narrow spectrum agent</w:t>
      </w:r>
      <w:r w:rsidR="006C0B28" w:rsidRPr="00B82626">
        <w:rPr>
          <w:rFonts w:cstheme="minorHAnsi"/>
        </w:rPr>
        <w:t>(s)</w:t>
      </w:r>
      <w:r w:rsidR="00373701" w:rsidRPr="00B82626">
        <w:rPr>
          <w:rFonts w:cstheme="minorHAnsi"/>
        </w:rPr>
        <w:t>.</w:t>
      </w:r>
    </w:p>
    <w:p w14:paraId="328FF2C6" w14:textId="6D9C2CBA" w:rsidR="00373701" w:rsidRPr="00B82626" w:rsidRDefault="00752F92" w:rsidP="00C60C3E">
      <w:pPr>
        <w:pStyle w:val="ListParagraph"/>
        <w:numPr>
          <w:ilvl w:val="0"/>
          <w:numId w:val="2"/>
        </w:numPr>
        <w:rPr>
          <w:rFonts w:cstheme="minorHAnsi"/>
        </w:rPr>
      </w:pPr>
      <w:r w:rsidRPr="00B82626">
        <w:rPr>
          <w:rFonts w:cstheme="minorHAnsi"/>
        </w:rPr>
        <w:t xml:space="preserve">Most often, </w:t>
      </w:r>
      <w:r w:rsidR="00373701" w:rsidRPr="00B82626">
        <w:rPr>
          <w:rFonts w:cstheme="minorHAnsi"/>
        </w:rPr>
        <w:t xml:space="preserve">antimicrobials </w:t>
      </w:r>
      <w:r w:rsidRPr="00B82626">
        <w:rPr>
          <w:rFonts w:cstheme="minorHAnsi"/>
        </w:rPr>
        <w:t xml:space="preserve">for admission r/o sepsis can </w:t>
      </w:r>
      <w:r w:rsidR="00373701" w:rsidRPr="00B82626">
        <w:rPr>
          <w:rFonts w:cstheme="minorHAnsi"/>
        </w:rPr>
        <w:t xml:space="preserve">be discontinued after </w:t>
      </w:r>
      <w:r w:rsidRPr="00B82626">
        <w:rPr>
          <w:rFonts w:cstheme="minorHAnsi"/>
        </w:rPr>
        <w:t>36-</w:t>
      </w:r>
      <w:r w:rsidR="00373701" w:rsidRPr="00B82626">
        <w:rPr>
          <w:rFonts w:cstheme="minorHAnsi"/>
        </w:rPr>
        <w:t>48 hours</w:t>
      </w:r>
      <w:r w:rsidRPr="00B82626">
        <w:rPr>
          <w:rFonts w:cstheme="minorHAnsi"/>
        </w:rPr>
        <w:t xml:space="preserve">. </w:t>
      </w:r>
      <w:r w:rsidR="00373701" w:rsidRPr="00B82626">
        <w:rPr>
          <w:rFonts w:cstheme="minorHAnsi"/>
        </w:rPr>
        <w:t xml:space="preserve"> Clinical improvement is not generally an adequate reason for continuing vancom</w:t>
      </w:r>
      <w:r w:rsidR="00C55D70" w:rsidRPr="00B82626">
        <w:rPr>
          <w:rFonts w:cstheme="minorHAnsi"/>
        </w:rPr>
        <w:t>ycin in the absence</w:t>
      </w:r>
      <w:r w:rsidR="00373701" w:rsidRPr="00B82626">
        <w:rPr>
          <w:rFonts w:cstheme="minorHAnsi"/>
        </w:rPr>
        <w:t xml:space="preserve"> of a pathogen requiring therapy with vancomycin.</w:t>
      </w:r>
      <w:r w:rsidR="00C55D70" w:rsidRPr="00B82626">
        <w:rPr>
          <w:rFonts w:cstheme="minorHAnsi"/>
        </w:rPr>
        <w:t xml:space="preserve"> </w:t>
      </w:r>
      <w:r w:rsidR="00225DA0" w:rsidRPr="00B82626">
        <w:rPr>
          <w:rFonts w:cstheme="minorHAnsi"/>
        </w:rPr>
        <w:t>(</w:t>
      </w:r>
      <w:r w:rsidR="00225DA0" w:rsidRPr="00B82626">
        <w:t>http://pediatrics.aappublications.org/content/129/5/1006.full)</w:t>
      </w:r>
    </w:p>
    <w:p w14:paraId="57617264" w14:textId="1B6CCBBE" w:rsidR="00373701" w:rsidRPr="00B82626" w:rsidRDefault="009F1F95" w:rsidP="00C60C3E">
      <w:pPr>
        <w:pStyle w:val="ListParagraph"/>
        <w:numPr>
          <w:ilvl w:val="0"/>
          <w:numId w:val="2"/>
        </w:numPr>
        <w:rPr>
          <w:rFonts w:cstheme="minorHAnsi"/>
        </w:rPr>
      </w:pPr>
      <w:r w:rsidRPr="00B82626">
        <w:rPr>
          <w:rFonts w:cstheme="minorHAnsi"/>
        </w:rPr>
        <w:t>Consider</w:t>
      </w:r>
      <w:r w:rsidR="00373701" w:rsidRPr="00B82626">
        <w:rPr>
          <w:rFonts w:cstheme="minorHAnsi"/>
        </w:rPr>
        <w:t xml:space="preserve"> neonatal </w:t>
      </w:r>
      <w:r w:rsidR="00C55D70" w:rsidRPr="00B82626">
        <w:rPr>
          <w:rFonts w:cstheme="minorHAnsi"/>
        </w:rPr>
        <w:t>HSV</w:t>
      </w:r>
      <w:r w:rsidR="00373701" w:rsidRPr="00B82626">
        <w:rPr>
          <w:rFonts w:cstheme="minorHAnsi"/>
        </w:rPr>
        <w:t xml:space="preserve"> infection in </w:t>
      </w:r>
      <w:r w:rsidR="00C55D70" w:rsidRPr="00B82626">
        <w:rPr>
          <w:rFonts w:cstheme="minorHAnsi"/>
        </w:rPr>
        <w:t xml:space="preserve">all </w:t>
      </w:r>
      <w:r w:rsidR="00373701" w:rsidRPr="00B82626">
        <w:rPr>
          <w:rFonts w:cstheme="minorHAnsi"/>
        </w:rPr>
        <w:t xml:space="preserve">neonates with suspected sepsis, especially in infants not responding to empiric </w:t>
      </w:r>
      <w:r w:rsidR="00C60C3E" w:rsidRPr="00B82626">
        <w:rPr>
          <w:rFonts w:cstheme="minorHAnsi"/>
        </w:rPr>
        <w:t>antibiotic</w:t>
      </w:r>
      <w:r w:rsidR="00373701" w:rsidRPr="00B82626">
        <w:rPr>
          <w:rFonts w:cstheme="minorHAnsi"/>
        </w:rPr>
        <w:t xml:space="preserve"> therapy, infants with high fever, infants with p</w:t>
      </w:r>
      <w:r w:rsidR="006856F3" w:rsidRPr="00B82626">
        <w:rPr>
          <w:rFonts w:cstheme="minorHAnsi"/>
        </w:rPr>
        <w:t>a</w:t>
      </w:r>
      <w:r w:rsidR="00373701" w:rsidRPr="00B82626">
        <w:rPr>
          <w:rFonts w:cstheme="minorHAnsi"/>
        </w:rPr>
        <w:t xml:space="preserve">pular or </w:t>
      </w:r>
      <w:proofErr w:type="spellStart"/>
      <w:r w:rsidR="00373701" w:rsidRPr="00B82626">
        <w:rPr>
          <w:rFonts w:cstheme="minorHAnsi"/>
        </w:rPr>
        <w:t>papulovesicular</w:t>
      </w:r>
      <w:proofErr w:type="spellEnd"/>
      <w:r w:rsidR="00373701" w:rsidRPr="00B82626">
        <w:rPr>
          <w:rFonts w:cstheme="minorHAnsi"/>
        </w:rPr>
        <w:t xml:space="preserve"> skin lesions, infants with seizures, </w:t>
      </w:r>
      <w:r w:rsidR="006856F3" w:rsidRPr="00B82626">
        <w:rPr>
          <w:rFonts w:cstheme="minorHAnsi"/>
        </w:rPr>
        <w:t>and</w:t>
      </w:r>
      <w:r w:rsidR="00373701" w:rsidRPr="00B82626">
        <w:rPr>
          <w:rFonts w:cstheme="minorHAnsi"/>
        </w:rPr>
        <w:t xml:space="preserve"> rarely</w:t>
      </w:r>
      <w:r w:rsidR="006856F3" w:rsidRPr="00B82626">
        <w:rPr>
          <w:rFonts w:cstheme="minorHAnsi"/>
        </w:rPr>
        <w:t>,</w:t>
      </w:r>
      <w:r w:rsidR="00373701" w:rsidRPr="00B82626">
        <w:rPr>
          <w:rFonts w:cstheme="minorHAnsi"/>
        </w:rPr>
        <w:t xml:space="preserve"> infants with respiratory distress and pneumonia.</w:t>
      </w:r>
      <w:r w:rsidR="00364701" w:rsidRPr="00B82626">
        <w:rPr>
          <w:rFonts w:cstheme="minorHAnsi"/>
        </w:rPr>
        <w:t xml:space="preserve"> Send</w:t>
      </w:r>
      <w:r w:rsidR="004D6617" w:rsidRPr="00B82626">
        <w:rPr>
          <w:rFonts w:cstheme="minorHAnsi"/>
        </w:rPr>
        <w:t xml:space="preserve"> blood for HSV PCR,</w:t>
      </w:r>
      <w:r w:rsidR="00364701" w:rsidRPr="00B82626">
        <w:rPr>
          <w:rFonts w:cstheme="minorHAnsi"/>
        </w:rPr>
        <w:t xml:space="preserve"> CSF for HSV PCR</w:t>
      </w:r>
      <w:r w:rsidR="004D6617" w:rsidRPr="00B82626">
        <w:rPr>
          <w:rFonts w:cstheme="minorHAnsi"/>
        </w:rPr>
        <w:t>, and</w:t>
      </w:r>
      <w:r w:rsidR="00364701" w:rsidRPr="00B82626">
        <w:rPr>
          <w:rFonts w:cstheme="minorHAnsi"/>
        </w:rPr>
        <w:t xml:space="preserve"> </w:t>
      </w:r>
      <w:r w:rsidR="004D6617" w:rsidRPr="00B82626">
        <w:rPr>
          <w:rFonts w:cstheme="minorHAnsi"/>
        </w:rPr>
        <w:t>HSV</w:t>
      </w:r>
      <w:r w:rsidR="00364701" w:rsidRPr="00B82626">
        <w:rPr>
          <w:rFonts w:cstheme="minorHAnsi"/>
        </w:rPr>
        <w:t xml:space="preserve"> culture swabs from 4 sites (eye, oral, peri-rectal and axilla). </w:t>
      </w:r>
      <w:r w:rsidR="006856F3" w:rsidRPr="00B82626">
        <w:rPr>
          <w:rFonts w:cstheme="minorHAnsi"/>
        </w:rPr>
        <w:t xml:space="preserve">CSF </w:t>
      </w:r>
      <w:r w:rsidR="004D6617" w:rsidRPr="00B82626">
        <w:rPr>
          <w:rFonts w:cstheme="minorHAnsi"/>
        </w:rPr>
        <w:t xml:space="preserve">and blood </w:t>
      </w:r>
      <w:r w:rsidR="006856F3" w:rsidRPr="00B82626">
        <w:rPr>
          <w:rFonts w:cstheme="minorHAnsi"/>
        </w:rPr>
        <w:t>studies for herpes can be performed after empiric antivirals have started.</w:t>
      </w:r>
    </w:p>
    <w:p w14:paraId="506E45B6" w14:textId="7792395D" w:rsidR="00373701" w:rsidRPr="00B82626" w:rsidRDefault="00373701" w:rsidP="00C60C3E">
      <w:pPr>
        <w:pStyle w:val="ListParagraph"/>
        <w:numPr>
          <w:ilvl w:val="0"/>
          <w:numId w:val="2"/>
        </w:numPr>
      </w:pPr>
      <w:r w:rsidRPr="00B82626">
        <w:rPr>
          <w:rFonts w:cstheme="minorHAnsi"/>
        </w:rPr>
        <w:t xml:space="preserve">Consider empiric anti-fungal therapy for systemic infection due to </w:t>
      </w:r>
      <w:r w:rsidRPr="00B82626">
        <w:rPr>
          <w:rFonts w:cstheme="minorHAnsi"/>
          <w:i/>
        </w:rPr>
        <w:t xml:space="preserve">Candida </w:t>
      </w:r>
      <w:r w:rsidR="00C55D70" w:rsidRPr="00B82626">
        <w:rPr>
          <w:rFonts w:cstheme="minorHAnsi"/>
        </w:rPr>
        <w:t>spp. i</w:t>
      </w:r>
      <w:r w:rsidRPr="00B82626">
        <w:rPr>
          <w:rFonts w:cstheme="minorHAnsi"/>
        </w:rPr>
        <w:t>n infants with late-onset sepsis w</w:t>
      </w:r>
      <w:r w:rsidR="00C60C3E" w:rsidRPr="00B82626">
        <w:rPr>
          <w:rFonts w:cstheme="minorHAnsi"/>
        </w:rPr>
        <w:t>hen</w:t>
      </w:r>
      <w:r w:rsidRPr="00B82626">
        <w:rPr>
          <w:rFonts w:cstheme="minorHAnsi"/>
        </w:rPr>
        <w:t xml:space="preserve"> blood cultures are </w:t>
      </w:r>
      <w:r w:rsidR="00C60C3E" w:rsidRPr="00B82626">
        <w:rPr>
          <w:rFonts w:cstheme="minorHAnsi"/>
        </w:rPr>
        <w:t>negative</w:t>
      </w:r>
      <w:r w:rsidRPr="00B82626">
        <w:rPr>
          <w:rFonts w:cstheme="minorHAnsi"/>
        </w:rPr>
        <w:t xml:space="preserve"> and the baby is not </w:t>
      </w:r>
      <w:r w:rsidR="00C60C3E" w:rsidRPr="00B82626">
        <w:rPr>
          <w:rFonts w:cstheme="minorHAnsi"/>
        </w:rPr>
        <w:t>responding</w:t>
      </w:r>
      <w:r w:rsidRPr="00B82626">
        <w:rPr>
          <w:rFonts w:cstheme="minorHAnsi"/>
        </w:rPr>
        <w:t xml:space="preserve"> to anti-bacterial an</w:t>
      </w:r>
      <w:r w:rsidR="00C60C3E" w:rsidRPr="00B82626">
        <w:rPr>
          <w:rFonts w:cstheme="minorHAnsi"/>
        </w:rPr>
        <w:t>ti</w:t>
      </w:r>
      <w:r w:rsidRPr="00B82626">
        <w:rPr>
          <w:rFonts w:cstheme="minorHAnsi"/>
        </w:rPr>
        <w:t xml:space="preserve">biotic therapy.  </w:t>
      </w:r>
      <w:r w:rsidR="00C55D70" w:rsidRPr="00B82626">
        <w:rPr>
          <w:rFonts w:cstheme="minorHAnsi"/>
        </w:rPr>
        <w:t>High-</w:t>
      </w:r>
      <w:r w:rsidR="00C830CF" w:rsidRPr="00B82626">
        <w:rPr>
          <w:rFonts w:cstheme="minorHAnsi"/>
        </w:rPr>
        <w:t>risk infants</w:t>
      </w:r>
      <w:r w:rsidRPr="00B82626">
        <w:rPr>
          <w:rFonts w:cstheme="minorHAnsi"/>
        </w:rPr>
        <w:t xml:space="preserve"> for candidiasis include gestational age of </w:t>
      </w:r>
      <w:r w:rsidRPr="00B82626">
        <w:rPr>
          <w:rFonts w:cstheme="minorHAnsi"/>
          <w:u w:val="single"/>
        </w:rPr>
        <w:t>&lt;</w:t>
      </w:r>
      <w:r w:rsidR="00C60C3E" w:rsidRPr="00B82626">
        <w:rPr>
          <w:rFonts w:cstheme="minorHAnsi"/>
        </w:rPr>
        <w:t>27 weeks, new onset thrombocytopenia, and corticosteroid therapy.</w:t>
      </w:r>
      <w:r w:rsidR="000C6493" w:rsidRPr="00B82626">
        <w:rPr>
          <w:rFonts w:cstheme="minorHAnsi"/>
        </w:rPr>
        <w:t xml:space="preserve"> Pediatric Infectious Diseases should be consulted in </w:t>
      </w:r>
      <w:r w:rsidR="00752F92" w:rsidRPr="00B82626">
        <w:rPr>
          <w:rFonts w:cstheme="minorHAnsi"/>
        </w:rPr>
        <w:t>these cases</w:t>
      </w:r>
      <w:r w:rsidR="000C6493" w:rsidRPr="00B82626">
        <w:rPr>
          <w:rFonts w:cstheme="minorHAnsi"/>
        </w:rPr>
        <w:t>.</w:t>
      </w:r>
    </w:p>
    <w:p w14:paraId="317539B9" w14:textId="036A2475" w:rsidR="003128E4" w:rsidRPr="00B82626" w:rsidRDefault="003128E4" w:rsidP="00C60C3E">
      <w:pPr>
        <w:pStyle w:val="ListParagraph"/>
        <w:numPr>
          <w:ilvl w:val="0"/>
          <w:numId w:val="2"/>
        </w:numPr>
      </w:pPr>
      <w:r w:rsidRPr="00B82626">
        <w:rPr>
          <w:rFonts w:cstheme="minorHAnsi"/>
        </w:rPr>
        <w:t xml:space="preserve">Vancomycin trough levels should be obtained </w:t>
      </w:r>
      <w:r w:rsidR="009560BD" w:rsidRPr="00B82626">
        <w:rPr>
          <w:rFonts w:cstheme="minorHAnsi"/>
        </w:rPr>
        <w:t>after the third dose</w:t>
      </w:r>
      <w:r w:rsidRPr="00B82626">
        <w:rPr>
          <w:rFonts w:cstheme="minorHAnsi"/>
        </w:rPr>
        <w:t xml:space="preserve">. </w:t>
      </w:r>
      <w:r w:rsidR="00752F92" w:rsidRPr="00B82626">
        <w:rPr>
          <w:rFonts w:cstheme="minorHAnsi"/>
        </w:rPr>
        <w:t>Generally, t</w:t>
      </w:r>
      <w:r w:rsidRPr="00B82626">
        <w:rPr>
          <w:rFonts w:cstheme="minorHAnsi"/>
        </w:rPr>
        <w:t>rough levels should be &gt;10</w:t>
      </w:r>
      <w:r w:rsidR="006856F3" w:rsidRPr="00B82626">
        <w:rPr>
          <w:rFonts w:cstheme="minorHAnsi"/>
        </w:rPr>
        <w:t xml:space="preserve"> mcg/mL</w:t>
      </w:r>
      <w:r w:rsidRPr="00B82626">
        <w:rPr>
          <w:rFonts w:cstheme="minorHAnsi"/>
        </w:rPr>
        <w:t xml:space="preserve"> for skin, soft tissue infections and &gt;15</w:t>
      </w:r>
      <w:r w:rsidR="006856F3" w:rsidRPr="00B82626">
        <w:rPr>
          <w:rFonts w:cstheme="minorHAnsi"/>
        </w:rPr>
        <w:t xml:space="preserve"> mcg/mL</w:t>
      </w:r>
      <w:r w:rsidRPr="00B82626">
        <w:rPr>
          <w:rFonts w:cstheme="minorHAnsi"/>
        </w:rPr>
        <w:t xml:space="preserve"> for sepsis or meningitis.</w:t>
      </w:r>
      <w:r w:rsidR="00BC7C2A" w:rsidRPr="00B82626">
        <w:rPr>
          <w:rFonts w:cstheme="minorHAnsi"/>
        </w:rPr>
        <w:t xml:space="preserve"> Max trough should be 20</w:t>
      </w:r>
      <w:r w:rsidR="006856F3" w:rsidRPr="00B82626">
        <w:rPr>
          <w:rFonts w:cstheme="minorHAnsi"/>
        </w:rPr>
        <w:t xml:space="preserve"> </w:t>
      </w:r>
      <w:proofErr w:type="spellStart"/>
      <w:r w:rsidR="006856F3" w:rsidRPr="00B82626">
        <w:rPr>
          <w:rFonts w:cstheme="minorHAnsi"/>
        </w:rPr>
        <w:t>mcg</w:t>
      </w:r>
      <w:proofErr w:type="spellEnd"/>
      <w:r w:rsidR="006856F3" w:rsidRPr="00B82626">
        <w:rPr>
          <w:rFonts w:cstheme="minorHAnsi"/>
        </w:rPr>
        <w:t>/mL</w:t>
      </w:r>
      <w:r w:rsidR="00BC7C2A" w:rsidRPr="00B82626">
        <w:rPr>
          <w:rFonts w:cstheme="minorHAnsi"/>
        </w:rPr>
        <w:t>.</w:t>
      </w:r>
      <w:r w:rsidRPr="00B82626">
        <w:rPr>
          <w:rFonts w:cstheme="minorHAnsi"/>
        </w:rPr>
        <w:t xml:space="preserve"> </w:t>
      </w:r>
      <w:r w:rsidR="00364701" w:rsidRPr="00B82626">
        <w:rPr>
          <w:rFonts w:cstheme="minorHAnsi"/>
        </w:rPr>
        <w:t>Peak levels are not needed.</w:t>
      </w:r>
    </w:p>
    <w:p w14:paraId="259D9BA8" w14:textId="4E45AABC" w:rsidR="00A60DB1" w:rsidRPr="00B82626" w:rsidRDefault="00E12DE1" w:rsidP="00B82626">
      <w:pPr>
        <w:pStyle w:val="ListParagraph"/>
        <w:numPr>
          <w:ilvl w:val="0"/>
          <w:numId w:val="2"/>
        </w:numPr>
      </w:pPr>
      <w:r w:rsidRPr="00B82626">
        <w:rPr>
          <w:rFonts w:cstheme="minorHAnsi"/>
        </w:rPr>
        <w:t>Gentami</w:t>
      </w:r>
      <w:r w:rsidR="00C835EF" w:rsidRPr="00B82626">
        <w:rPr>
          <w:rFonts w:cstheme="minorHAnsi"/>
        </w:rPr>
        <w:t xml:space="preserve">cin </w:t>
      </w:r>
      <w:r w:rsidR="00752F92" w:rsidRPr="00B82626">
        <w:rPr>
          <w:rFonts w:cstheme="minorHAnsi"/>
        </w:rPr>
        <w:t xml:space="preserve">peak and </w:t>
      </w:r>
      <w:r w:rsidR="00C835EF" w:rsidRPr="00B82626">
        <w:rPr>
          <w:rFonts w:cstheme="minorHAnsi"/>
        </w:rPr>
        <w:t xml:space="preserve">trough levels should be obtained </w:t>
      </w:r>
      <w:r w:rsidR="009560BD" w:rsidRPr="00B82626">
        <w:rPr>
          <w:rFonts w:cstheme="minorHAnsi"/>
        </w:rPr>
        <w:t xml:space="preserve">after </w:t>
      </w:r>
      <w:r w:rsidR="00752F92" w:rsidRPr="00B82626">
        <w:rPr>
          <w:rFonts w:cstheme="minorHAnsi"/>
        </w:rPr>
        <w:t xml:space="preserve">the third </w:t>
      </w:r>
      <w:r w:rsidR="00C835EF" w:rsidRPr="00B82626">
        <w:rPr>
          <w:rFonts w:cstheme="minorHAnsi"/>
        </w:rPr>
        <w:t>dose</w:t>
      </w:r>
      <w:r w:rsidR="009F1F95" w:rsidRPr="00B82626">
        <w:rPr>
          <w:rFonts w:cstheme="minorHAnsi"/>
        </w:rPr>
        <w:t>.</w:t>
      </w:r>
    </w:p>
    <w:sectPr w:rsidR="00A60DB1" w:rsidRPr="00B82626" w:rsidSect="00262ACA">
      <w:headerReference w:type="default" r:id="rId14"/>
      <w:foot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7542" w14:textId="77777777" w:rsidR="00436ED0" w:rsidRDefault="00436ED0" w:rsidP="003041DF">
      <w:pPr>
        <w:spacing w:after="0" w:line="240" w:lineRule="auto"/>
      </w:pPr>
      <w:r>
        <w:separator/>
      </w:r>
    </w:p>
  </w:endnote>
  <w:endnote w:type="continuationSeparator" w:id="0">
    <w:p w14:paraId="6C283CBC" w14:textId="77777777" w:rsidR="00436ED0" w:rsidRDefault="00436ED0" w:rsidP="0030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0097" w14:textId="77777777" w:rsidR="00741E24" w:rsidRPr="00647753" w:rsidRDefault="00741E24" w:rsidP="00647753">
    <w:pPr>
      <w:pStyle w:val="Footer"/>
      <w:jc w:val="center"/>
      <w:rPr>
        <w:sz w:val="16"/>
        <w:szCs w:val="16"/>
      </w:rPr>
    </w:pPr>
    <w:r w:rsidRPr="00647753">
      <w:rPr>
        <w:sz w:val="16"/>
        <w:szCs w:val="16"/>
      </w:rPr>
      <w:t>This document is intended as a general guideline.</w:t>
    </w:r>
  </w:p>
  <w:p w14:paraId="62278602" w14:textId="77777777" w:rsidR="00741E24" w:rsidRPr="00647753" w:rsidRDefault="00741E24" w:rsidP="00647753">
    <w:pPr>
      <w:pStyle w:val="Footer"/>
      <w:jc w:val="center"/>
      <w:rPr>
        <w:sz w:val="16"/>
        <w:szCs w:val="16"/>
      </w:rPr>
    </w:pPr>
    <w:r w:rsidRPr="00647753">
      <w:rPr>
        <w:sz w:val="16"/>
        <w:szCs w:val="16"/>
      </w:rPr>
      <w:t>The healthcare professional must use the appropriate judgment dependent on the particular clinical situation</w:t>
    </w:r>
  </w:p>
  <w:p w14:paraId="214CDCF6" w14:textId="77777777" w:rsidR="00741E24" w:rsidRDefault="00741E24" w:rsidP="00647753">
    <w:pPr>
      <w:pStyle w:val="Footer"/>
      <w:jc w:val="center"/>
    </w:pPr>
    <w:r>
      <w:fldChar w:fldCharType="begin"/>
    </w:r>
    <w:r>
      <w:instrText xml:space="preserve"> PAGE   \* MERGEFORMAT </w:instrText>
    </w:r>
    <w:r>
      <w:fldChar w:fldCharType="separate"/>
    </w:r>
    <w:r w:rsidR="00E2437A">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3CCC" w14:textId="77777777" w:rsidR="00436ED0" w:rsidRDefault="00436ED0" w:rsidP="003041DF">
      <w:pPr>
        <w:spacing w:after="0" w:line="240" w:lineRule="auto"/>
      </w:pPr>
      <w:r>
        <w:separator/>
      </w:r>
    </w:p>
  </w:footnote>
  <w:footnote w:type="continuationSeparator" w:id="0">
    <w:p w14:paraId="7E328E27" w14:textId="77777777" w:rsidR="00436ED0" w:rsidRDefault="00436ED0" w:rsidP="003041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3D0A" w14:textId="77777777" w:rsidR="00741E24" w:rsidRDefault="00741E24" w:rsidP="008F2BBF">
    <w:pPr>
      <w:pStyle w:val="Header"/>
      <w:jc w:val="center"/>
    </w:pPr>
  </w:p>
  <w:p w14:paraId="528C70F0" w14:textId="77777777" w:rsidR="00741E24" w:rsidRDefault="00741E24" w:rsidP="008F2BBF">
    <w:pPr>
      <w:pStyle w:val="Header"/>
      <w:jc w:val="center"/>
    </w:pPr>
  </w:p>
  <w:p w14:paraId="70D58BE3" w14:textId="77777777" w:rsidR="00741E24" w:rsidRPr="003041DF" w:rsidRDefault="00741E24" w:rsidP="008F2BBF">
    <w:pPr>
      <w:pStyle w:val="Header"/>
      <w:jc w:val="center"/>
    </w:pPr>
    <w:r>
      <w:rPr>
        <w:noProof/>
      </w:rPr>
      <w:drawing>
        <wp:inline distT="0" distB="0" distL="0" distR="0" wp14:anchorId="73A4C124" wp14:editId="12926968">
          <wp:extent cx="24955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Childrens.jpg"/>
                  <pic:cNvPicPr/>
                </pic:nvPicPr>
                <pic:blipFill>
                  <a:blip r:embed="rId1">
                    <a:extLst>
                      <a:ext uri="{28A0092B-C50C-407E-A947-70E740481C1C}">
                        <a14:useLocalDpi xmlns:a14="http://schemas.microsoft.com/office/drawing/2010/main" val="0"/>
                      </a:ext>
                    </a:extLst>
                  </a:blip>
                  <a:stretch>
                    <a:fillRect/>
                  </a:stretch>
                </pic:blipFill>
                <pic:spPr>
                  <a:xfrm>
                    <a:off x="0" y="0"/>
                    <a:ext cx="249555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0849"/>
    <w:multiLevelType w:val="hybridMultilevel"/>
    <w:tmpl w:val="2320D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646C2"/>
    <w:multiLevelType w:val="hybridMultilevel"/>
    <w:tmpl w:val="8C88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C6F129-782D-4197-8A88-BC21A44FBFE6}"/>
    <w:docVar w:name="dgnword-eventsink" w:val="130217768"/>
  </w:docVars>
  <w:rsids>
    <w:rsidRoot w:val="003041DF"/>
    <w:rsid w:val="00002247"/>
    <w:rsid w:val="00003FC9"/>
    <w:rsid w:val="00082ACF"/>
    <w:rsid w:val="000C6493"/>
    <w:rsid w:val="000F0CC7"/>
    <w:rsid w:val="00173541"/>
    <w:rsid w:val="001B2103"/>
    <w:rsid w:val="002009C6"/>
    <w:rsid w:val="00225DA0"/>
    <w:rsid w:val="002532C2"/>
    <w:rsid w:val="00262ACA"/>
    <w:rsid w:val="00264825"/>
    <w:rsid w:val="002773C5"/>
    <w:rsid w:val="002F2CFD"/>
    <w:rsid w:val="002F6E79"/>
    <w:rsid w:val="003041DF"/>
    <w:rsid w:val="00306127"/>
    <w:rsid w:val="003128E4"/>
    <w:rsid w:val="00364701"/>
    <w:rsid w:val="00373701"/>
    <w:rsid w:val="00377161"/>
    <w:rsid w:val="003C3870"/>
    <w:rsid w:val="003D4817"/>
    <w:rsid w:val="00436ED0"/>
    <w:rsid w:val="00444B36"/>
    <w:rsid w:val="00451B2A"/>
    <w:rsid w:val="004D6617"/>
    <w:rsid w:val="004F1968"/>
    <w:rsid w:val="00506D71"/>
    <w:rsid w:val="005554B6"/>
    <w:rsid w:val="0055746E"/>
    <w:rsid w:val="005B376D"/>
    <w:rsid w:val="005D1A25"/>
    <w:rsid w:val="00647753"/>
    <w:rsid w:val="006856F3"/>
    <w:rsid w:val="006C0B28"/>
    <w:rsid w:val="00741E24"/>
    <w:rsid w:val="00752F92"/>
    <w:rsid w:val="00767BF3"/>
    <w:rsid w:val="00832774"/>
    <w:rsid w:val="00836966"/>
    <w:rsid w:val="0087358D"/>
    <w:rsid w:val="008856B9"/>
    <w:rsid w:val="00892CF0"/>
    <w:rsid w:val="00897618"/>
    <w:rsid w:val="008D167C"/>
    <w:rsid w:val="008E2A72"/>
    <w:rsid w:val="008F2BBF"/>
    <w:rsid w:val="00911E90"/>
    <w:rsid w:val="00926ACB"/>
    <w:rsid w:val="009560BD"/>
    <w:rsid w:val="00982341"/>
    <w:rsid w:val="009E04E6"/>
    <w:rsid w:val="009F1F95"/>
    <w:rsid w:val="00A1324B"/>
    <w:rsid w:val="00A21631"/>
    <w:rsid w:val="00A60DB1"/>
    <w:rsid w:val="00B305CB"/>
    <w:rsid w:val="00B46370"/>
    <w:rsid w:val="00B82626"/>
    <w:rsid w:val="00B92B55"/>
    <w:rsid w:val="00BB366E"/>
    <w:rsid w:val="00BB758A"/>
    <w:rsid w:val="00BC3463"/>
    <w:rsid w:val="00BC7C2A"/>
    <w:rsid w:val="00BD524C"/>
    <w:rsid w:val="00BF0EB3"/>
    <w:rsid w:val="00C55D70"/>
    <w:rsid w:val="00C60C3E"/>
    <w:rsid w:val="00C824B3"/>
    <w:rsid w:val="00C830CF"/>
    <w:rsid w:val="00C835EF"/>
    <w:rsid w:val="00C9193D"/>
    <w:rsid w:val="00C92135"/>
    <w:rsid w:val="00CC3933"/>
    <w:rsid w:val="00D52058"/>
    <w:rsid w:val="00D7121C"/>
    <w:rsid w:val="00D8795C"/>
    <w:rsid w:val="00DB4270"/>
    <w:rsid w:val="00E12DE1"/>
    <w:rsid w:val="00E2437A"/>
    <w:rsid w:val="00E50484"/>
    <w:rsid w:val="00E73E55"/>
    <w:rsid w:val="00E938CD"/>
    <w:rsid w:val="00F243BF"/>
    <w:rsid w:val="00F3253B"/>
    <w:rsid w:val="00F8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D58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F"/>
  </w:style>
  <w:style w:type="paragraph" w:styleId="Footer">
    <w:name w:val="footer"/>
    <w:basedOn w:val="Normal"/>
    <w:link w:val="FooterChar"/>
    <w:uiPriority w:val="99"/>
    <w:unhideWhenUsed/>
    <w:rsid w:val="0030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F"/>
  </w:style>
  <w:style w:type="paragraph" w:styleId="BalloonText">
    <w:name w:val="Balloon Text"/>
    <w:basedOn w:val="Normal"/>
    <w:link w:val="BalloonTextChar"/>
    <w:uiPriority w:val="99"/>
    <w:semiHidden/>
    <w:unhideWhenUsed/>
    <w:rsid w:val="0030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DF"/>
    <w:rPr>
      <w:rFonts w:ascii="Tahoma" w:hAnsi="Tahoma" w:cs="Tahoma"/>
      <w:sz w:val="16"/>
      <w:szCs w:val="16"/>
    </w:rPr>
  </w:style>
  <w:style w:type="table" w:styleId="TableGrid">
    <w:name w:val="Table Grid"/>
    <w:basedOn w:val="TableNormal"/>
    <w:uiPriority w:val="59"/>
    <w:rsid w:val="00304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701"/>
    <w:pPr>
      <w:ind w:left="720"/>
      <w:contextualSpacing/>
    </w:pPr>
  </w:style>
  <w:style w:type="character" w:styleId="CommentReference">
    <w:name w:val="annotation reference"/>
    <w:basedOn w:val="DefaultParagraphFont"/>
    <w:uiPriority w:val="99"/>
    <w:semiHidden/>
    <w:unhideWhenUsed/>
    <w:rsid w:val="00F85B65"/>
    <w:rPr>
      <w:sz w:val="16"/>
      <w:szCs w:val="16"/>
    </w:rPr>
  </w:style>
  <w:style w:type="paragraph" w:styleId="CommentText">
    <w:name w:val="annotation text"/>
    <w:basedOn w:val="Normal"/>
    <w:link w:val="CommentTextChar"/>
    <w:uiPriority w:val="99"/>
    <w:semiHidden/>
    <w:unhideWhenUsed/>
    <w:rsid w:val="00F85B65"/>
    <w:pPr>
      <w:spacing w:line="240" w:lineRule="auto"/>
    </w:pPr>
    <w:rPr>
      <w:sz w:val="20"/>
      <w:szCs w:val="20"/>
    </w:rPr>
  </w:style>
  <w:style w:type="character" w:customStyle="1" w:styleId="CommentTextChar">
    <w:name w:val="Comment Text Char"/>
    <w:basedOn w:val="DefaultParagraphFont"/>
    <w:link w:val="CommentText"/>
    <w:uiPriority w:val="99"/>
    <w:semiHidden/>
    <w:rsid w:val="00F85B65"/>
    <w:rPr>
      <w:sz w:val="20"/>
      <w:szCs w:val="20"/>
    </w:rPr>
  </w:style>
  <w:style w:type="paragraph" w:styleId="CommentSubject">
    <w:name w:val="annotation subject"/>
    <w:basedOn w:val="CommentText"/>
    <w:next w:val="CommentText"/>
    <w:link w:val="CommentSubjectChar"/>
    <w:uiPriority w:val="99"/>
    <w:semiHidden/>
    <w:unhideWhenUsed/>
    <w:rsid w:val="00F85B65"/>
    <w:rPr>
      <w:b/>
      <w:bCs/>
    </w:rPr>
  </w:style>
  <w:style w:type="character" w:customStyle="1" w:styleId="CommentSubjectChar">
    <w:name w:val="Comment Subject Char"/>
    <w:basedOn w:val="CommentTextChar"/>
    <w:link w:val="CommentSubject"/>
    <w:uiPriority w:val="99"/>
    <w:semiHidden/>
    <w:rsid w:val="00F85B65"/>
    <w:rPr>
      <w:b/>
      <w:bCs/>
      <w:sz w:val="20"/>
      <w:szCs w:val="20"/>
    </w:rPr>
  </w:style>
  <w:style w:type="character" w:styleId="Hyperlink">
    <w:name w:val="Hyperlink"/>
    <w:basedOn w:val="DefaultParagraphFont"/>
    <w:uiPriority w:val="99"/>
    <w:unhideWhenUsed/>
    <w:rsid w:val="0027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ncbi.nlm.nih.gov/pubmed/2053925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86697-D746-4711-A4B5-F976F5B5DB0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518B16-E55A-44FC-A1A6-D7095EE47F37}">
      <dgm:prSet phldrT="[Text]" custT="1"/>
      <dgm:spPr>
        <a:solidFill>
          <a:schemeClr val="tx2">
            <a:lumMod val="40000"/>
            <a:lumOff val="60000"/>
          </a:schemeClr>
        </a:solidFill>
      </dgm:spPr>
      <dgm:t>
        <a:bodyPr/>
        <a:lstStyle/>
        <a:p>
          <a:r>
            <a:rPr lang="en-US" sz="1400">
              <a:solidFill>
                <a:schemeClr val="tx1"/>
              </a:solidFill>
            </a:rPr>
            <a:t>Late onset clincal sepsis syndrome (age equal or greater than 7 days)</a:t>
          </a:r>
        </a:p>
      </dgm:t>
    </dgm:pt>
    <dgm:pt modelId="{1E43A296-C879-4F81-ABD1-180B10B65CCF}" type="parTrans" cxnId="{C5145662-F7D0-4497-9FD9-BA35E4E8CE92}">
      <dgm:prSet/>
      <dgm:spPr/>
      <dgm:t>
        <a:bodyPr/>
        <a:lstStyle/>
        <a:p>
          <a:endParaRPr lang="en-US"/>
        </a:p>
      </dgm:t>
    </dgm:pt>
    <dgm:pt modelId="{AAD82253-99A2-4F43-AAF1-AC0AC4601223}" type="sibTrans" cxnId="{C5145662-F7D0-4497-9FD9-BA35E4E8CE92}">
      <dgm:prSet/>
      <dgm:spPr/>
      <dgm:t>
        <a:bodyPr/>
        <a:lstStyle/>
        <a:p>
          <a:endParaRPr lang="en-US"/>
        </a:p>
      </dgm:t>
    </dgm:pt>
    <dgm:pt modelId="{8F35DA77-7B4B-4422-B5F8-8A91D4BE237E}">
      <dgm:prSet phldrT="[Text]" custT="1"/>
      <dgm:spPr>
        <a:solidFill>
          <a:schemeClr val="tx2">
            <a:lumMod val="40000"/>
            <a:lumOff val="60000"/>
          </a:schemeClr>
        </a:solidFill>
      </dgm:spPr>
      <dgm:t>
        <a:bodyPr/>
        <a:lstStyle/>
        <a:p>
          <a:r>
            <a:rPr lang="en-US" sz="1400">
              <a:solidFill>
                <a:schemeClr val="tx1"/>
              </a:solidFill>
            </a:rPr>
            <a:t>If suspect meningitis:</a:t>
          </a:r>
        </a:p>
        <a:p>
          <a:r>
            <a:rPr lang="en-US" sz="1400">
              <a:solidFill>
                <a:schemeClr val="tx1"/>
              </a:solidFill>
            </a:rPr>
            <a:t> amp OR vanc AND cefotaxime</a:t>
          </a:r>
          <a:r>
            <a:rPr lang="en-US" sz="1400" baseline="30000">
              <a:solidFill>
                <a:schemeClr val="tx1"/>
              </a:solidFill>
            </a:rPr>
            <a:t>(4,5,6)</a:t>
          </a:r>
        </a:p>
      </dgm:t>
    </dgm:pt>
    <dgm:pt modelId="{C66E8838-551C-4E5F-9230-5C131941E20D}" type="parTrans" cxnId="{9640C052-F97C-40E7-91FC-1FAFC3DD0226}">
      <dgm:prSet/>
      <dgm:spPr/>
      <dgm:t>
        <a:bodyPr/>
        <a:lstStyle/>
        <a:p>
          <a:endParaRPr lang="en-US"/>
        </a:p>
      </dgm:t>
    </dgm:pt>
    <dgm:pt modelId="{77C00610-613C-4C5D-86B5-55881A31D652}" type="sibTrans" cxnId="{9640C052-F97C-40E7-91FC-1FAFC3DD0226}">
      <dgm:prSet/>
      <dgm:spPr/>
      <dgm:t>
        <a:bodyPr/>
        <a:lstStyle/>
        <a:p>
          <a:endParaRPr lang="en-US"/>
        </a:p>
      </dgm:t>
    </dgm:pt>
    <dgm:pt modelId="{9A38791B-FA38-8245-8C3C-3F21C4332D53}">
      <dgm:prSet custT="1"/>
      <dgm:spPr>
        <a:solidFill>
          <a:schemeClr val="tx2">
            <a:lumMod val="40000"/>
            <a:lumOff val="60000"/>
          </a:schemeClr>
        </a:solidFill>
      </dgm:spPr>
      <dgm:t>
        <a:bodyPr/>
        <a:lstStyle/>
        <a:p>
          <a:r>
            <a:rPr lang="en-US" sz="1400">
              <a:solidFill>
                <a:schemeClr val="tx1"/>
              </a:solidFill>
            </a:rPr>
            <a:t>“Rule-out” late-onset sepsis (48 hr r/o or 5d cx- sepsis):</a:t>
          </a:r>
        </a:p>
        <a:p>
          <a:r>
            <a:rPr lang="en-US" sz="1400">
              <a:solidFill>
                <a:schemeClr val="tx1"/>
              </a:solidFill>
            </a:rPr>
            <a:t>amp + gent OR </a:t>
          </a:r>
        </a:p>
        <a:p>
          <a:r>
            <a:rPr lang="en-US" sz="1400">
              <a:solidFill>
                <a:schemeClr val="tx1"/>
              </a:solidFill>
            </a:rPr>
            <a:t>vanc + gent</a:t>
          </a:r>
          <a:r>
            <a:rPr lang="en-US" sz="1400" baseline="30000">
              <a:solidFill>
                <a:schemeClr val="tx1"/>
              </a:solidFill>
            </a:rPr>
            <a:t>(4,6,7)</a:t>
          </a:r>
        </a:p>
      </dgm:t>
    </dgm:pt>
    <dgm:pt modelId="{09C88962-3408-E047-9411-0B6627CFF2C5}" type="parTrans" cxnId="{7AB9171F-F44B-8A4A-B0FC-0F84FDD16661}">
      <dgm:prSet/>
      <dgm:spPr/>
      <dgm:t>
        <a:bodyPr/>
        <a:lstStyle/>
        <a:p>
          <a:endParaRPr lang="en-US"/>
        </a:p>
      </dgm:t>
    </dgm:pt>
    <dgm:pt modelId="{8CC97017-07B2-DF48-9E65-6016A75B11F9}" type="sibTrans" cxnId="{7AB9171F-F44B-8A4A-B0FC-0F84FDD16661}">
      <dgm:prSet/>
      <dgm:spPr/>
      <dgm:t>
        <a:bodyPr/>
        <a:lstStyle/>
        <a:p>
          <a:endParaRPr lang="en-US"/>
        </a:p>
      </dgm:t>
    </dgm:pt>
    <dgm:pt modelId="{0B719515-C2CD-F646-95EE-C4075CE7CFBB}">
      <dgm:prSet phldrT="[Text]" custT="1"/>
      <dgm:spPr>
        <a:solidFill>
          <a:schemeClr val="tx2">
            <a:lumMod val="40000"/>
            <a:lumOff val="60000"/>
          </a:schemeClr>
        </a:solidFill>
      </dgm:spPr>
      <dgm:t>
        <a:bodyPr/>
        <a:lstStyle/>
        <a:p>
          <a:r>
            <a:rPr lang="en-US" sz="1400">
              <a:solidFill>
                <a:schemeClr val="tx1"/>
              </a:solidFill>
            </a:rPr>
            <a:t>If suspect intrabdominal infection </a:t>
          </a:r>
          <a:r>
            <a:rPr lang="en-US" sz="1400" baseline="30000">
              <a:solidFill>
                <a:schemeClr val="tx1"/>
              </a:solidFill>
            </a:rPr>
            <a:t>(3)</a:t>
          </a:r>
          <a:r>
            <a:rPr lang="en-US" sz="1400">
              <a:solidFill>
                <a:schemeClr val="tx1"/>
              </a:solidFill>
            </a:rPr>
            <a:t>:</a:t>
          </a:r>
        </a:p>
        <a:p>
          <a:r>
            <a:rPr lang="en-US" sz="1400">
              <a:solidFill>
                <a:schemeClr val="tx1"/>
              </a:solidFill>
            </a:rPr>
            <a:t>Zosyn alone /</a:t>
          </a:r>
        </a:p>
        <a:p>
          <a:r>
            <a:rPr lang="en-US" sz="1400">
              <a:solidFill>
                <a:schemeClr val="tx1"/>
              </a:solidFill>
            </a:rPr>
            <a:t>+/- Vancomycin</a:t>
          </a:r>
          <a:r>
            <a:rPr lang="en-US" sz="1400" baseline="30000">
              <a:solidFill>
                <a:schemeClr val="tx1"/>
              </a:solidFill>
            </a:rPr>
            <a:t>(7)</a:t>
          </a:r>
        </a:p>
      </dgm:t>
    </dgm:pt>
    <dgm:pt modelId="{BD11FB69-A24F-E24D-B3C9-C69180EB74C8}" type="parTrans" cxnId="{54AF838D-FF05-C847-A04F-1358F3607330}">
      <dgm:prSet/>
      <dgm:spPr/>
      <dgm:t>
        <a:bodyPr/>
        <a:lstStyle/>
        <a:p>
          <a:endParaRPr lang="en-US"/>
        </a:p>
      </dgm:t>
    </dgm:pt>
    <dgm:pt modelId="{BBC0E370-3882-6145-919E-55A808EB3D03}" type="sibTrans" cxnId="{54AF838D-FF05-C847-A04F-1358F3607330}">
      <dgm:prSet/>
      <dgm:spPr/>
      <dgm:t>
        <a:bodyPr/>
        <a:lstStyle/>
        <a:p>
          <a:endParaRPr lang="en-US"/>
        </a:p>
      </dgm:t>
    </dgm:pt>
    <dgm:pt modelId="{3839C720-B8F7-7D4D-8DEF-2EFC34101F3B}">
      <dgm:prSet custT="1"/>
      <dgm:spPr>
        <a:solidFill>
          <a:schemeClr val="tx2">
            <a:lumMod val="40000"/>
            <a:lumOff val="60000"/>
          </a:schemeClr>
        </a:solidFill>
      </dgm:spPr>
      <dgm:t>
        <a:bodyPr/>
        <a:lstStyle/>
        <a:p>
          <a:r>
            <a:rPr lang="en-US" sz="1200" b="0">
              <a:solidFill>
                <a:schemeClr val="tx1"/>
              </a:solidFill>
            </a:rPr>
            <a:t>Duration of treatment for meningitis is generally 14 days for gram positive infections and 21 days for gram negative infections if infant clinically responding, and laboratory data and radiologic studies support clinical response.</a:t>
          </a:r>
        </a:p>
        <a:p>
          <a:r>
            <a:rPr lang="en-US" sz="1200" b="0">
              <a:solidFill>
                <a:schemeClr val="tx1"/>
              </a:solidFill>
            </a:rPr>
            <a:t>For GBS meningitis it is recommended to repeat LP at 48-72 hours and at end of therapy as well as obtain imaging studies, preferably an MRI.</a:t>
          </a:r>
        </a:p>
        <a:p>
          <a:r>
            <a:rPr lang="en-US" sz="1200" b="1" i="1" u="sng">
              <a:solidFill>
                <a:schemeClr val="tx1"/>
              </a:solidFill>
            </a:rPr>
            <a:t>Consultation with Peds ID is recommended</a:t>
          </a:r>
        </a:p>
      </dgm:t>
    </dgm:pt>
    <dgm:pt modelId="{DEE31947-CC11-9F4B-8268-BF9FD70C6813}" type="parTrans" cxnId="{0CAE8E27-3C6D-514E-974F-C8E4265A3999}">
      <dgm:prSet/>
      <dgm:spPr/>
      <dgm:t>
        <a:bodyPr/>
        <a:lstStyle/>
        <a:p>
          <a:endParaRPr lang="en-US"/>
        </a:p>
      </dgm:t>
    </dgm:pt>
    <dgm:pt modelId="{16EB0323-0F84-7841-A612-A24BC762A4CE}" type="sibTrans" cxnId="{0CAE8E27-3C6D-514E-974F-C8E4265A3999}">
      <dgm:prSet/>
      <dgm:spPr/>
      <dgm:t>
        <a:bodyPr/>
        <a:lstStyle/>
        <a:p>
          <a:endParaRPr lang="en-US"/>
        </a:p>
      </dgm:t>
    </dgm:pt>
    <dgm:pt modelId="{37030E7F-C0F4-7040-AAF5-B466D08A5E43}">
      <dgm:prSet custT="1"/>
      <dgm:spPr>
        <a:solidFill>
          <a:schemeClr val="tx2">
            <a:lumMod val="40000"/>
            <a:lumOff val="60000"/>
          </a:schemeClr>
        </a:solidFill>
      </dgm:spPr>
      <dgm:t>
        <a:bodyPr/>
        <a:lstStyle/>
        <a:p>
          <a:r>
            <a:rPr lang="en-US" sz="1200" b="0">
              <a:solidFill>
                <a:schemeClr val="tx1"/>
              </a:solidFill>
            </a:rPr>
            <a:t>Length of treatment for true intrabdominal infections may be 21 (</a:t>
          </a:r>
          <a:r>
            <a:rPr lang="en-US" sz="1200" b="0">
              <a:solidFill>
                <a:schemeClr val="tx1"/>
              </a:solidFill>
              <a:latin typeface="Times New Roman"/>
              <a:cs typeface="Times New Roman"/>
            </a:rPr>
            <a:t>±7) </a:t>
          </a:r>
          <a:r>
            <a:rPr lang="en-US" sz="1200" b="0">
              <a:solidFill>
                <a:schemeClr val="tx1"/>
              </a:solidFill>
            </a:rPr>
            <a:t>days if infant clinically responding and laboratory data and radiologic studies support this duration of treatment.</a:t>
          </a:r>
        </a:p>
        <a:p>
          <a:r>
            <a:rPr lang="en-US" sz="1200" b="1" i="1" u="sng">
              <a:solidFill>
                <a:schemeClr val="tx1"/>
              </a:solidFill>
            </a:rPr>
            <a:t>Consultation with Peds ID is recommended</a:t>
          </a:r>
          <a:endParaRPr lang="en-US" sz="1200" b="0">
            <a:solidFill>
              <a:schemeClr val="tx1"/>
            </a:solidFill>
          </a:endParaRPr>
        </a:p>
      </dgm:t>
    </dgm:pt>
    <dgm:pt modelId="{BBF8EC2F-00EC-4244-B83D-7248ED17320B}" type="parTrans" cxnId="{243E3B94-A729-A54E-9D2A-41CBE36E086B}">
      <dgm:prSet/>
      <dgm:spPr/>
      <dgm:t>
        <a:bodyPr/>
        <a:lstStyle/>
        <a:p>
          <a:endParaRPr lang="en-US"/>
        </a:p>
      </dgm:t>
    </dgm:pt>
    <dgm:pt modelId="{FD00661E-9D85-C54C-ADDD-D0BB3957A6E3}" type="sibTrans" cxnId="{243E3B94-A729-A54E-9D2A-41CBE36E086B}">
      <dgm:prSet/>
      <dgm:spPr/>
      <dgm:t>
        <a:bodyPr/>
        <a:lstStyle/>
        <a:p>
          <a:endParaRPr lang="en-US"/>
        </a:p>
      </dgm:t>
    </dgm:pt>
    <dgm:pt modelId="{82CDF697-3C7C-2A4C-A716-06CA6EA262CC}" type="pres">
      <dgm:prSet presAssocID="{DF986697-D746-4711-A4B5-F976F5B5DB02}" presName="hierChild1" presStyleCnt="0">
        <dgm:presLayoutVars>
          <dgm:orgChart val="1"/>
          <dgm:chPref val="1"/>
          <dgm:dir/>
          <dgm:animOne val="branch"/>
          <dgm:animLvl val="lvl"/>
          <dgm:resizeHandles/>
        </dgm:presLayoutVars>
      </dgm:prSet>
      <dgm:spPr/>
      <dgm:t>
        <a:bodyPr/>
        <a:lstStyle/>
        <a:p>
          <a:endParaRPr lang="en-US"/>
        </a:p>
      </dgm:t>
    </dgm:pt>
    <dgm:pt modelId="{DBA7BF4F-F18F-294F-A876-E7BA4AAD59AD}" type="pres">
      <dgm:prSet presAssocID="{8C518B16-E55A-44FC-A1A6-D7095EE47F37}" presName="hierRoot1" presStyleCnt="0">
        <dgm:presLayoutVars>
          <dgm:hierBranch val="init"/>
        </dgm:presLayoutVars>
      </dgm:prSet>
      <dgm:spPr/>
    </dgm:pt>
    <dgm:pt modelId="{52830C25-B4EF-044F-882B-16B7507B0FEA}" type="pres">
      <dgm:prSet presAssocID="{8C518B16-E55A-44FC-A1A6-D7095EE47F37}" presName="rootComposite1" presStyleCnt="0"/>
      <dgm:spPr/>
    </dgm:pt>
    <dgm:pt modelId="{9E0093CA-E9AA-6345-8A85-7FBD4D35AB81}" type="pres">
      <dgm:prSet presAssocID="{8C518B16-E55A-44FC-A1A6-D7095EE47F37}" presName="rootText1" presStyleLbl="node0" presStyleIdx="0" presStyleCnt="1" custScaleX="399858" custScaleY="383640" custLinFactY="-89743" custLinFactNeighborX="57640" custLinFactNeighborY="-100000">
        <dgm:presLayoutVars>
          <dgm:chPref val="3"/>
        </dgm:presLayoutVars>
      </dgm:prSet>
      <dgm:spPr/>
      <dgm:t>
        <a:bodyPr/>
        <a:lstStyle/>
        <a:p>
          <a:endParaRPr lang="en-US"/>
        </a:p>
      </dgm:t>
    </dgm:pt>
    <dgm:pt modelId="{03BAA235-0662-CA47-98C3-E3D6FE06127C}" type="pres">
      <dgm:prSet presAssocID="{8C518B16-E55A-44FC-A1A6-D7095EE47F37}" presName="rootConnector1" presStyleLbl="node1" presStyleIdx="0" presStyleCnt="0"/>
      <dgm:spPr/>
      <dgm:t>
        <a:bodyPr/>
        <a:lstStyle/>
        <a:p>
          <a:endParaRPr lang="en-US"/>
        </a:p>
      </dgm:t>
    </dgm:pt>
    <dgm:pt modelId="{D90A5C55-7577-7E4D-932F-E396549EC80B}" type="pres">
      <dgm:prSet presAssocID="{8C518B16-E55A-44FC-A1A6-D7095EE47F37}" presName="hierChild2" presStyleCnt="0"/>
      <dgm:spPr/>
    </dgm:pt>
    <dgm:pt modelId="{F092CCAC-FBB7-004E-AA48-F989B0D1AD37}" type="pres">
      <dgm:prSet presAssocID="{09C88962-3408-E047-9411-0B6627CFF2C5}" presName="Name37" presStyleLbl="parChTrans1D2" presStyleIdx="0" presStyleCnt="3"/>
      <dgm:spPr/>
      <dgm:t>
        <a:bodyPr/>
        <a:lstStyle/>
        <a:p>
          <a:endParaRPr lang="en-US"/>
        </a:p>
      </dgm:t>
    </dgm:pt>
    <dgm:pt modelId="{70FBE6E4-990C-D54F-B6D5-65FF33AACA95}" type="pres">
      <dgm:prSet presAssocID="{9A38791B-FA38-8245-8C3C-3F21C4332D53}" presName="hierRoot2" presStyleCnt="0">
        <dgm:presLayoutVars>
          <dgm:hierBranch val="init"/>
        </dgm:presLayoutVars>
      </dgm:prSet>
      <dgm:spPr/>
    </dgm:pt>
    <dgm:pt modelId="{9BFB8C60-3226-5240-94E2-8DF22EF1AFE7}" type="pres">
      <dgm:prSet presAssocID="{9A38791B-FA38-8245-8C3C-3F21C4332D53}" presName="rootComposite" presStyleCnt="0"/>
      <dgm:spPr/>
    </dgm:pt>
    <dgm:pt modelId="{53C1EB2F-797C-EB47-977A-367D7657C312}" type="pres">
      <dgm:prSet presAssocID="{9A38791B-FA38-8245-8C3C-3F21C4332D53}" presName="rootText" presStyleLbl="node2" presStyleIdx="0" presStyleCnt="3" custScaleX="384411" custScaleY="538845" custLinFactY="-10101" custLinFactNeighborX="52373" custLinFactNeighborY="-100000">
        <dgm:presLayoutVars>
          <dgm:chPref val="3"/>
        </dgm:presLayoutVars>
      </dgm:prSet>
      <dgm:spPr/>
      <dgm:t>
        <a:bodyPr/>
        <a:lstStyle/>
        <a:p>
          <a:endParaRPr lang="en-US"/>
        </a:p>
      </dgm:t>
    </dgm:pt>
    <dgm:pt modelId="{D571AA11-DC07-EA4D-82AC-4E90D9E23D6A}" type="pres">
      <dgm:prSet presAssocID="{9A38791B-FA38-8245-8C3C-3F21C4332D53}" presName="rootConnector" presStyleLbl="node2" presStyleIdx="0" presStyleCnt="3"/>
      <dgm:spPr/>
      <dgm:t>
        <a:bodyPr/>
        <a:lstStyle/>
        <a:p>
          <a:endParaRPr lang="en-US"/>
        </a:p>
      </dgm:t>
    </dgm:pt>
    <dgm:pt modelId="{F1848A28-86F5-9041-89EC-201423155155}" type="pres">
      <dgm:prSet presAssocID="{9A38791B-FA38-8245-8C3C-3F21C4332D53}" presName="hierChild4" presStyleCnt="0"/>
      <dgm:spPr/>
    </dgm:pt>
    <dgm:pt modelId="{F98F62E9-2C06-2A40-A6BF-465F640C6BCF}" type="pres">
      <dgm:prSet presAssocID="{9A38791B-FA38-8245-8C3C-3F21C4332D53}" presName="hierChild5" presStyleCnt="0"/>
      <dgm:spPr/>
    </dgm:pt>
    <dgm:pt modelId="{FD6282C3-65AD-084B-AA6F-5B110770A0F9}" type="pres">
      <dgm:prSet presAssocID="{C66E8838-551C-4E5F-9230-5C131941E20D}" presName="Name37" presStyleLbl="parChTrans1D2" presStyleIdx="1" presStyleCnt="3"/>
      <dgm:spPr/>
      <dgm:t>
        <a:bodyPr/>
        <a:lstStyle/>
        <a:p>
          <a:endParaRPr lang="en-US"/>
        </a:p>
      </dgm:t>
    </dgm:pt>
    <dgm:pt modelId="{9DD4B7C0-FA07-FB4A-B6D0-94C8CD55FBD7}" type="pres">
      <dgm:prSet presAssocID="{8F35DA77-7B4B-4422-B5F8-8A91D4BE237E}" presName="hierRoot2" presStyleCnt="0">
        <dgm:presLayoutVars>
          <dgm:hierBranch val="init"/>
        </dgm:presLayoutVars>
      </dgm:prSet>
      <dgm:spPr/>
    </dgm:pt>
    <dgm:pt modelId="{5471A1F5-0710-1C44-AAB6-12781F76C907}" type="pres">
      <dgm:prSet presAssocID="{8F35DA77-7B4B-4422-B5F8-8A91D4BE237E}" presName="rootComposite" presStyleCnt="0"/>
      <dgm:spPr/>
    </dgm:pt>
    <dgm:pt modelId="{05727FB7-86A1-3D48-A85F-09165038AB6C}" type="pres">
      <dgm:prSet presAssocID="{8F35DA77-7B4B-4422-B5F8-8A91D4BE237E}" presName="rootText" presStyleLbl="node2" presStyleIdx="1" presStyleCnt="3" custScaleX="291248" custScaleY="550162" custLinFactX="74864" custLinFactNeighborX="100000" custLinFactNeighborY="-91843">
        <dgm:presLayoutVars>
          <dgm:chPref val="3"/>
        </dgm:presLayoutVars>
      </dgm:prSet>
      <dgm:spPr/>
      <dgm:t>
        <a:bodyPr/>
        <a:lstStyle/>
        <a:p>
          <a:endParaRPr lang="en-US"/>
        </a:p>
      </dgm:t>
    </dgm:pt>
    <dgm:pt modelId="{D9C1AD69-E00B-7740-980F-6032F9638CD6}" type="pres">
      <dgm:prSet presAssocID="{8F35DA77-7B4B-4422-B5F8-8A91D4BE237E}" presName="rootConnector" presStyleLbl="node2" presStyleIdx="1" presStyleCnt="3"/>
      <dgm:spPr/>
      <dgm:t>
        <a:bodyPr/>
        <a:lstStyle/>
        <a:p>
          <a:endParaRPr lang="en-US"/>
        </a:p>
      </dgm:t>
    </dgm:pt>
    <dgm:pt modelId="{4EAAF064-BBE0-914F-AB0D-97C3D7997235}" type="pres">
      <dgm:prSet presAssocID="{8F35DA77-7B4B-4422-B5F8-8A91D4BE237E}" presName="hierChild4" presStyleCnt="0"/>
      <dgm:spPr/>
    </dgm:pt>
    <dgm:pt modelId="{5A4A46BC-DBF1-9448-BD20-02307E68A961}" type="pres">
      <dgm:prSet presAssocID="{DEE31947-CC11-9F4B-8268-BF9FD70C6813}" presName="Name37" presStyleLbl="parChTrans1D3" presStyleIdx="0" presStyleCnt="2"/>
      <dgm:spPr/>
      <dgm:t>
        <a:bodyPr/>
        <a:lstStyle/>
        <a:p>
          <a:endParaRPr lang="en-US"/>
        </a:p>
      </dgm:t>
    </dgm:pt>
    <dgm:pt modelId="{341C8945-8859-3745-ACF6-455DFF79AAC7}" type="pres">
      <dgm:prSet presAssocID="{3839C720-B8F7-7D4D-8DEF-2EFC34101F3B}" presName="hierRoot2" presStyleCnt="0">
        <dgm:presLayoutVars>
          <dgm:hierBranch val="init"/>
        </dgm:presLayoutVars>
      </dgm:prSet>
      <dgm:spPr/>
    </dgm:pt>
    <dgm:pt modelId="{6D4C6353-8697-7744-BB2C-62405F3FE35F}" type="pres">
      <dgm:prSet presAssocID="{3839C720-B8F7-7D4D-8DEF-2EFC34101F3B}" presName="rootComposite" presStyleCnt="0"/>
      <dgm:spPr/>
    </dgm:pt>
    <dgm:pt modelId="{EC0144D2-7FE2-1F4E-9BF5-A0650261EF33}" type="pres">
      <dgm:prSet presAssocID="{3839C720-B8F7-7D4D-8DEF-2EFC34101F3B}" presName="rootText" presStyleLbl="node3" presStyleIdx="0" presStyleCnt="2" custScaleX="645428" custScaleY="926066" custLinFactX="-64467" custLinFactY="33589" custLinFactNeighborX="-100000" custLinFactNeighborY="100000">
        <dgm:presLayoutVars>
          <dgm:chPref val="3"/>
        </dgm:presLayoutVars>
      </dgm:prSet>
      <dgm:spPr/>
      <dgm:t>
        <a:bodyPr/>
        <a:lstStyle/>
        <a:p>
          <a:endParaRPr lang="en-US"/>
        </a:p>
      </dgm:t>
    </dgm:pt>
    <dgm:pt modelId="{B21078AB-C0CA-F14E-A5DD-78B50A1F2521}" type="pres">
      <dgm:prSet presAssocID="{3839C720-B8F7-7D4D-8DEF-2EFC34101F3B}" presName="rootConnector" presStyleLbl="node3" presStyleIdx="0" presStyleCnt="2"/>
      <dgm:spPr/>
      <dgm:t>
        <a:bodyPr/>
        <a:lstStyle/>
        <a:p>
          <a:endParaRPr lang="en-US"/>
        </a:p>
      </dgm:t>
    </dgm:pt>
    <dgm:pt modelId="{23206DF9-F9FB-3E45-927B-1726EF28343D}" type="pres">
      <dgm:prSet presAssocID="{3839C720-B8F7-7D4D-8DEF-2EFC34101F3B}" presName="hierChild4" presStyleCnt="0"/>
      <dgm:spPr/>
    </dgm:pt>
    <dgm:pt modelId="{1B9993C9-D181-9B46-9740-05E5307DD9DB}" type="pres">
      <dgm:prSet presAssocID="{3839C720-B8F7-7D4D-8DEF-2EFC34101F3B}" presName="hierChild5" presStyleCnt="0"/>
      <dgm:spPr/>
    </dgm:pt>
    <dgm:pt modelId="{E85AF9AD-863D-D141-9D28-BCC027E18137}" type="pres">
      <dgm:prSet presAssocID="{8F35DA77-7B4B-4422-B5F8-8A91D4BE237E}" presName="hierChild5" presStyleCnt="0"/>
      <dgm:spPr/>
    </dgm:pt>
    <dgm:pt modelId="{77F1CD78-0BF5-BC4E-BD4F-0C613EDBDD18}" type="pres">
      <dgm:prSet presAssocID="{BD11FB69-A24F-E24D-B3C9-C69180EB74C8}" presName="Name37" presStyleLbl="parChTrans1D2" presStyleIdx="2" presStyleCnt="3"/>
      <dgm:spPr/>
      <dgm:t>
        <a:bodyPr/>
        <a:lstStyle/>
        <a:p>
          <a:endParaRPr lang="en-US"/>
        </a:p>
      </dgm:t>
    </dgm:pt>
    <dgm:pt modelId="{CBA90AF0-B1F7-E34D-A755-07390C24C09B}" type="pres">
      <dgm:prSet presAssocID="{0B719515-C2CD-F646-95EE-C4075CE7CFBB}" presName="hierRoot2" presStyleCnt="0">
        <dgm:presLayoutVars>
          <dgm:hierBranch val="init"/>
        </dgm:presLayoutVars>
      </dgm:prSet>
      <dgm:spPr/>
    </dgm:pt>
    <dgm:pt modelId="{95E7BEB9-BD45-E748-8E11-BFC1D249FC1D}" type="pres">
      <dgm:prSet presAssocID="{0B719515-C2CD-F646-95EE-C4075CE7CFBB}" presName="rootComposite" presStyleCnt="0"/>
      <dgm:spPr/>
    </dgm:pt>
    <dgm:pt modelId="{E1F35517-C116-6448-8CAB-51BB92C764C7}" type="pres">
      <dgm:prSet presAssocID="{0B719515-C2CD-F646-95EE-C4075CE7CFBB}" presName="rootText" presStyleLbl="node2" presStyleIdx="2" presStyleCnt="3" custScaleX="466044" custScaleY="488892" custLinFactY="-10101" custLinFactNeighborX="52373" custLinFactNeighborY="-100000">
        <dgm:presLayoutVars>
          <dgm:chPref val="3"/>
        </dgm:presLayoutVars>
      </dgm:prSet>
      <dgm:spPr/>
      <dgm:t>
        <a:bodyPr/>
        <a:lstStyle/>
        <a:p>
          <a:endParaRPr lang="en-US"/>
        </a:p>
      </dgm:t>
    </dgm:pt>
    <dgm:pt modelId="{E9C25C83-7F64-3846-A79B-DD00F811850D}" type="pres">
      <dgm:prSet presAssocID="{0B719515-C2CD-F646-95EE-C4075CE7CFBB}" presName="rootConnector" presStyleLbl="node2" presStyleIdx="2" presStyleCnt="3"/>
      <dgm:spPr/>
      <dgm:t>
        <a:bodyPr/>
        <a:lstStyle/>
        <a:p>
          <a:endParaRPr lang="en-US"/>
        </a:p>
      </dgm:t>
    </dgm:pt>
    <dgm:pt modelId="{8137FAE3-7C01-6A43-A7F1-F629EE5EEFA1}" type="pres">
      <dgm:prSet presAssocID="{0B719515-C2CD-F646-95EE-C4075CE7CFBB}" presName="hierChild4" presStyleCnt="0"/>
      <dgm:spPr/>
    </dgm:pt>
    <dgm:pt modelId="{F9F6F4A0-7AC9-5A4A-BDE5-326A077691EA}" type="pres">
      <dgm:prSet presAssocID="{BBF8EC2F-00EC-4244-B83D-7248ED17320B}" presName="Name37" presStyleLbl="parChTrans1D3" presStyleIdx="1" presStyleCnt="2"/>
      <dgm:spPr/>
      <dgm:t>
        <a:bodyPr/>
        <a:lstStyle/>
        <a:p>
          <a:endParaRPr lang="en-US"/>
        </a:p>
      </dgm:t>
    </dgm:pt>
    <dgm:pt modelId="{CD26E695-FD45-1149-B09C-6A92A766CB0D}" type="pres">
      <dgm:prSet presAssocID="{37030E7F-C0F4-7040-AAF5-B466D08A5E43}" presName="hierRoot2" presStyleCnt="0">
        <dgm:presLayoutVars>
          <dgm:hierBranch val="init"/>
        </dgm:presLayoutVars>
      </dgm:prSet>
      <dgm:spPr/>
    </dgm:pt>
    <dgm:pt modelId="{146635D9-C6D5-1A45-958D-E81A329D1C63}" type="pres">
      <dgm:prSet presAssocID="{37030E7F-C0F4-7040-AAF5-B466D08A5E43}" presName="rootComposite" presStyleCnt="0"/>
      <dgm:spPr/>
    </dgm:pt>
    <dgm:pt modelId="{C957E3DB-D11E-9E4E-8AF6-6DF82C0D97A9}" type="pres">
      <dgm:prSet presAssocID="{37030E7F-C0F4-7040-AAF5-B466D08A5E43}" presName="rootText" presStyleLbl="node3" presStyleIdx="1" presStyleCnt="2" custScaleX="450765" custScaleY="754009" custLinFactY="21379" custLinFactNeighborX="-48135" custLinFactNeighborY="100000">
        <dgm:presLayoutVars>
          <dgm:chPref val="3"/>
        </dgm:presLayoutVars>
      </dgm:prSet>
      <dgm:spPr/>
      <dgm:t>
        <a:bodyPr/>
        <a:lstStyle/>
        <a:p>
          <a:endParaRPr lang="en-US"/>
        </a:p>
      </dgm:t>
    </dgm:pt>
    <dgm:pt modelId="{8A807589-00D9-B64D-9196-7EA94CE66170}" type="pres">
      <dgm:prSet presAssocID="{37030E7F-C0F4-7040-AAF5-B466D08A5E43}" presName="rootConnector" presStyleLbl="node3" presStyleIdx="1" presStyleCnt="2"/>
      <dgm:spPr/>
      <dgm:t>
        <a:bodyPr/>
        <a:lstStyle/>
        <a:p>
          <a:endParaRPr lang="en-US"/>
        </a:p>
      </dgm:t>
    </dgm:pt>
    <dgm:pt modelId="{F3C6C34D-4833-3341-9277-A6D52D51A4B3}" type="pres">
      <dgm:prSet presAssocID="{37030E7F-C0F4-7040-AAF5-B466D08A5E43}" presName="hierChild4" presStyleCnt="0"/>
      <dgm:spPr/>
    </dgm:pt>
    <dgm:pt modelId="{96C96D3C-6463-DB4B-A3E2-4CE23E62A1FF}" type="pres">
      <dgm:prSet presAssocID="{37030E7F-C0F4-7040-AAF5-B466D08A5E43}" presName="hierChild5" presStyleCnt="0"/>
      <dgm:spPr/>
    </dgm:pt>
    <dgm:pt modelId="{2C57E8C1-C14C-1A48-8E27-D7E9BB1D191D}" type="pres">
      <dgm:prSet presAssocID="{0B719515-C2CD-F646-95EE-C4075CE7CFBB}" presName="hierChild5" presStyleCnt="0"/>
      <dgm:spPr/>
    </dgm:pt>
    <dgm:pt modelId="{9BDC1626-D75F-9547-9ECC-9F9EE4476EAB}" type="pres">
      <dgm:prSet presAssocID="{8C518B16-E55A-44FC-A1A6-D7095EE47F37}" presName="hierChild3" presStyleCnt="0"/>
      <dgm:spPr/>
    </dgm:pt>
  </dgm:ptLst>
  <dgm:cxnLst>
    <dgm:cxn modelId="{47C8C44A-8821-354C-AD07-2C5CC811E409}" type="presOf" srcId="{8F35DA77-7B4B-4422-B5F8-8A91D4BE237E}" destId="{05727FB7-86A1-3D48-A85F-09165038AB6C}" srcOrd="0" destOrd="0" presId="urn:microsoft.com/office/officeart/2005/8/layout/orgChart1"/>
    <dgm:cxn modelId="{60E9F43B-EE85-3B4B-8DCF-14AE459E5D8F}" type="presOf" srcId="{DEE31947-CC11-9F4B-8268-BF9FD70C6813}" destId="{5A4A46BC-DBF1-9448-BD20-02307E68A961}" srcOrd="0" destOrd="0" presId="urn:microsoft.com/office/officeart/2005/8/layout/orgChart1"/>
    <dgm:cxn modelId="{8034834F-BDF8-EF4E-9CD7-2FD47240E5A7}" type="presOf" srcId="{C66E8838-551C-4E5F-9230-5C131941E20D}" destId="{FD6282C3-65AD-084B-AA6F-5B110770A0F9}" srcOrd="0" destOrd="0" presId="urn:microsoft.com/office/officeart/2005/8/layout/orgChart1"/>
    <dgm:cxn modelId="{5F826659-0F78-174D-922D-AFA2C5E3E6EE}" type="presOf" srcId="{BD11FB69-A24F-E24D-B3C9-C69180EB74C8}" destId="{77F1CD78-0BF5-BC4E-BD4F-0C613EDBDD18}" srcOrd="0" destOrd="0" presId="urn:microsoft.com/office/officeart/2005/8/layout/orgChart1"/>
    <dgm:cxn modelId="{5BE6C685-7876-3B4F-8E59-D040C4D177CD}" type="presOf" srcId="{37030E7F-C0F4-7040-AAF5-B466D08A5E43}" destId="{8A807589-00D9-B64D-9196-7EA94CE66170}" srcOrd="1" destOrd="0" presId="urn:microsoft.com/office/officeart/2005/8/layout/orgChart1"/>
    <dgm:cxn modelId="{3F35256B-6A66-234B-A04C-DCC5A55CC087}" type="presOf" srcId="{3839C720-B8F7-7D4D-8DEF-2EFC34101F3B}" destId="{B21078AB-C0CA-F14E-A5DD-78B50A1F2521}" srcOrd="1" destOrd="0" presId="urn:microsoft.com/office/officeart/2005/8/layout/orgChart1"/>
    <dgm:cxn modelId="{54AF838D-FF05-C847-A04F-1358F3607330}" srcId="{8C518B16-E55A-44FC-A1A6-D7095EE47F37}" destId="{0B719515-C2CD-F646-95EE-C4075CE7CFBB}" srcOrd="2" destOrd="0" parTransId="{BD11FB69-A24F-E24D-B3C9-C69180EB74C8}" sibTransId="{BBC0E370-3882-6145-919E-55A808EB3D03}"/>
    <dgm:cxn modelId="{7AB9171F-F44B-8A4A-B0FC-0F84FDD16661}" srcId="{8C518B16-E55A-44FC-A1A6-D7095EE47F37}" destId="{9A38791B-FA38-8245-8C3C-3F21C4332D53}" srcOrd="0" destOrd="0" parTransId="{09C88962-3408-E047-9411-0B6627CFF2C5}" sibTransId="{8CC97017-07B2-DF48-9E65-6016A75B11F9}"/>
    <dgm:cxn modelId="{C5145662-F7D0-4497-9FD9-BA35E4E8CE92}" srcId="{DF986697-D746-4711-A4B5-F976F5B5DB02}" destId="{8C518B16-E55A-44FC-A1A6-D7095EE47F37}" srcOrd="0" destOrd="0" parTransId="{1E43A296-C879-4F81-ABD1-180B10B65CCF}" sibTransId="{AAD82253-99A2-4F43-AAF1-AC0AC4601223}"/>
    <dgm:cxn modelId="{243E3B94-A729-A54E-9D2A-41CBE36E086B}" srcId="{0B719515-C2CD-F646-95EE-C4075CE7CFBB}" destId="{37030E7F-C0F4-7040-AAF5-B466D08A5E43}" srcOrd="0" destOrd="0" parTransId="{BBF8EC2F-00EC-4244-B83D-7248ED17320B}" sibTransId="{FD00661E-9D85-C54C-ADDD-D0BB3957A6E3}"/>
    <dgm:cxn modelId="{CB2F4A0E-12B6-7D49-B3B7-A8D106FA25FF}" type="presOf" srcId="{0B719515-C2CD-F646-95EE-C4075CE7CFBB}" destId="{E1F35517-C116-6448-8CAB-51BB92C764C7}" srcOrd="0" destOrd="0" presId="urn:microsoft.com/office/officeart/2005/8/layout/orgChart1"/>
    <dgm:cxn modelId="{704860BF-683D-4549-A85F-4CBFDDB3CF1C}" type="presOf" srcId="{9A38791B-FA38-8245-8C3C-3F21C4332D53}" destId="{53C1EB2F-797C-EB47-977A-367D7657C312}" srcOrd="0" destOrd="0" presId="urn:microsoft.com/office/officeart/2005/8/layout/orgChart1"/>
    <dgm:cxn modelId="{0CAE8E27-3C6D-514E-974F-C8E4265A3999}" srcId="{8F35DA77-7B4B-4422-B5F8-8A91D4BE237E}" destId="{3839C720-B8F7-7D4D-8DEF-2EFC34101F3B}" srcOrd="0" destOrd="0" parTransId="{DEE31947-CC11-9F4B-8268-BF9FD70C6813}" sibTransId="{16EB0323-0F84-7841-A612-A24BC762A4CE}"/>
    <dgm:cxn modelId="{94371054-6673-4B4C-A722-7A130CBE1A86}" type="presOf" srcId="{09C88962-3408-E047-9411-0B6627CFF2C5}" destId="{F092CCAC-FBB7-004E-AA48-F989B0D1AD37}" srcOrd="0" destOrd="0" presId="urn:microsoft.com/office/officeart/2005/8/layout/orgChart1"/>
    <dgm:cxn modelId="{868A2D5D-B2CA-D74C-9385-2456BE7779FA}" type="presOf" srcId="{9A38791B-FA38-8245-8C3C-3F21C4332D53}" destId="{D571AA11-DC07-EA4D-82AC-4E90D9E23D6A}" srcOrd="1" destOrd="0" presId="urn:microsoft.com/office/officeart/2005/8/layout/orgChart1"/>
    <dgm:cxn modelId="{22FEDBFB-9011-484E-85C0-1917B3A67246}" type="presOf" srcId="{DF986697-D746-4711-A4B5-F976F5B5DB02}" destId="{82CDF697-3C7C-2A4C-A716-06CA6EA262CC}" srcOrd="0" destOrd="0" presId="urn:microsoft.com/office/officeart/2005/8/layout/orgChart1"/>
    <dgm:cxn modelId="{4459C441-036D-304B-A51C-EF8AAED2AE68}" type="presOf" srcId="{8C518B16-E55A-44FC-A1A6-D7095EE47F37}" destId="{03BAA235-0662-CA47-98C3-E3D6FE06127C}" srcOrd="1" destOrd="0" presId="urn:microsoft.com/office/officeart/2005/8/layout/orgChart1"/>
    <dgm:cxn modelId="{1FE474B8-05DE-3B48-81BF-F44476A372CE}" type="presOf" srcId="{0B719515-C2CD-F646-95EE-C4075CE7CFBB}" destId="{E9C25C83-7F64-3846-A79B-DD00F811850D}" srcOrd="1" destOrd="0" presId="urn:microsoft.com/office/officeart/2005/8/layout/orgChart1"/>
    <dgm:cxn modelId="{00FE8BC5-C7FA-904D-B9F1-814D8E98E3A8}" type="presOf" srcId="{3839C720-B8F7-7D4D-8DEF-2EFC34101F3B}" destId="{EC0144D2-7FE2-1F4E-9BF5-A0650261EF33}" srcOrd="0" destOrd="0" presId="urn:microsoft.com/office/officeart/2005/8/layout/orgChart1"/>
    <dgm:cxn modelId="{02780B2C-52B6-6749-A90B-ED5FE49C06F2}" type="presOf" srcId="{8C518B16-E55A-44FC-A1A6-D7095EE47F37}" destId="{9E0093CA-E9AA-6345-8A85-7FBD4D35AB81}" srcOrd="0" destOrd="0" presId="urn:microsoft.com/office/officeart/2005/8/layout/orgChart1"/>
    <dgm:cxn modelId="{9640C052-F97C-40E7-91FC-1FAFC3DD0226}" srcId="{8C518B16-E55A-44FC-A1A6-D7095EE47F37}" destId="{8F35DA77-7B4B-4422-B5F8-8A91D4BE237E}" srcOrd="1" destOrd="0" parTransId="{C66E8838-551C-4E5F-9230-5C131941E20D}" sibTransId="{77C00610-613C-4C5D-86B5-55881A31D652}"/>
    <dgm:cxn modelId="{A888E7E1-8960-A947-8443-DBB0EE8CDC8C}" type="presOf" srcId="{8F35DA77-7B4B-4422-B5F8-8A91D4BE237E}" destId="{D9C1AD69-E00B-7740-980F-6032F9638CD6}" srcOrd="1" destOrd="0" presId="urn:microsoft.com/office/officeart/2005/8/layout/orgChart1"/>
    <dgm:cxn modelId="{64231E72-CC89-CA46-9C35-A566E6F58C36}" type="presOf" srcId="{BBF8EC2F-00EC-4244-B83D-7248ED17320B}" destId="{F9F6F4A0-7AC9-5A4A-BDE5-326A077691EA}" srcOrd="0" destOrd="0" presId="urn:microsoft.com/office/officeart/2005/8/layout/orgChart1"/>
    <dgm:cxn modelId="{056BBDBA-08A2-0445-A79F-A38368BF59F2}" type="presOf" srcId="{37030E7F-C0F4-7040-AAF5-B466D08A5E43}" destId="{C957E3DB-D11E-9E4E-8AF6-6DF82C0D97A9}" srcOrd="0" destOrd="0" presId="urn:microsoft.com/office/officeart/2005/8/layout/orgChart1"/>
    <dgm:cxn modelId="{F5355EFD-0324-9548-9ADF-1EF514351C86}" type="presParOf" srcId="{82CDF697-3C7C-2A4C-A716-06CA6EA262CC}" destId="{DBA7BF4F-F18F-294F-A876-E7BA4AAD59AD}" srcOrd="0" destOrd="0" presId="urn:microsoft.com/office/officeart/2005/8/layout/orgChart1"/>
    <dgm:cxn modelId="{599B2BB3-8707-7A45-A6BE-37AF436886C6}" type="presParOf" srcId="{DBA7BF4F-F18F-294F-A876-E7BA4AAD59AD}" destId="{52830C25-B4EF-044F-882B-16B7507B0FEA}" srcOrd="0" destOrd="0" presId="urn:microsoft.com/office/officeart/2005/8/layout/orgChart1"/>
    <dgm:cxn modelId="{44712C41-FAA2-7E49-93F4-2EFB97339829}" type="presParOf" srcId="{52830C25-B4EF-044F-882B-16B7507B0FEA}" destId="{9E0093CA-E9AA-6345-8A85-7FBD4D35AB81}" srcOrd="0" destOrd="0" presId="urn:microsoft.com/office/officeart/2005/8/layout/orgChart1"/>
    <dgm:cxn modelId="{111C3832-B562-AA4B-A510-A792B1297841}" type="presParOf" srcId="{52830C25-B4EF-044F-882B-16B7507B0FEA}" destId="{03BAA235-0662-CA47-98C3-E3D6FE06127C}" srcOrd="1" destOrd="0" presId="urn:microsoft.com/office/officeart/2005/8/layout/orgChart1"/>
    <dgm:cxn modelId="{B6BA8786-C7BD-7C4A-925F-CA1B0B0A5026}" type="presParOf" srcId="{DBA7BF4F-F18F-294F-A876-E7BA4AAD59AD}" destId="{D90A5C55-7577-7E4D-932F-E396549EC80B}" srcOrd="1" destOrd="0" presId="urn:microsoft.com/office/officeart/2005/8/layout/orgChart1"/>
    <dgm:cxn modelId="{57881FCA-20BA-4C47-ADBC-3556FE5DF830}" type="presParOf" srcId="{D90A5C55-7577-7E4D-932F-E396549EC80B}" destId="{F092CCAC-FBB7-004E-AA48-F989B0D1AD37}" srcOrd="0" destOrd="0" presId="urn:microsoft.com/office/officeart/2005/8/layout/orgChart1"/>
    <dgm:cxn modelId="{1A3CF7FB-30B4-574C-A045-B94E59307B28}" type="presParOf" srcId="{D90A5C55-7577-7E4D-932F-E396549EC80B}" destId="{70FBE6E4-990C-D54F-B6D5-65FF33AACA95}" srcOrd="1" destOrd="0" presId="urn:microsoft.com/office/officeart/2005/8/layout/orgChart1"/>
    <dgm:cxn modelId="{4F845782-9306-D547-9CB2-746125A1B037}" type="presParOf" srcId="{70FBE6E4-990C-D54F-B6D5-65FF33AACA95}" destId="{9BFB8C60-3226-5240-94E2-8DF22EF1AFE7}" srcOrd="0" destOrd="0" presId="urn:microsoft.com/office/officeart/2005/8/layout/orgChart1"/>
    <dgm:cxn modelId="{ED7982D5-ED2C-AE41-838A-2ABF33890D8F}" type="presParOf" srcId="{9BFB8C60-3226-5240-94E2-8DF22EF1AFE7}" destId="{53C1EB2F-797C-EB47-977A-367D7657C312}" srcOrd="0" destOrd="0" presId="urn:microsoft.com/office/officeart/2005/8/layout/orgChart1"/>
    <dgm:cxn modelId="{E022AB8F-D082-EC42-AA5E-F7E2F44E06FC}" type="presParOf" srcId="{9BFB8C60-3226-5240-94E2-8DF22EF1AFE7}" destId="{D571AA11-DC07-EA4D-82AC-4E90D9E23D6A}" srcOrd="1" destOrd="0" presId="urn:microsoft.com/office/officeart/2005/8/layout/orgChart1"/>
    <dgm:cxn modelId="{C4039A42-8F7A-8F43-AAA5-AF3CB058011F}" type="presParOf" srcId="{70FBE6E4-990C-D54F-B6D5-65FF33AACA95}" destId="{F1848A28-86F5-9041-89EC-201423155155}" srcOrd="1" destOrd="0" presId="urn:microsoft.com/office/officeart/2005/8/layout/orgChart1"/>
    <dgm:cxn modelId="{BB7E5FE6-195C-FB4E-97CE-4B71AE677A31}" type="presParOf" srcId="{70FBE6E4-990C-D54F-B6D5-65FF33AACA95}" destId="{F98F62E9-2C06-2A40-A6BF-465F640C6BCF}" srcOrd="2" destOrd="0" presId="urn:microsoft.com/office/officeart/2005/8/layout/orgChart1"/>
    <dgm:cxn modelId="{75A432B0-1931-2D43-B489-A6663859EB7B}" type="presParOf" srcId="{D90A5C55-7577-7E4D-932F-E396549EC80B}" destId="{FD6282C3-65AD-084B-AA6F-5B110770A0F9}" srcOrd="2" destOrd="0" presId="urn:microsoft.com/office/officeart/2005/8/layout/orgChart1"/>
    <dgm:cxn modelId="{13BF9CB9-595D-9949-88A8-03FE5D028F00}" type="presParOf" srcId="{D90A5C55-7577-7E4D-932F-E396549EC80B}" destId="{9DD4B7C0-FA07-FB4A-B6D0-94C8CD55FBD7}" srcOrd="3" destOrd="0" presId="urn:microsoft.com/office/officeart/2005/8/layout/orgChart1"/>
    <dgm:cxn modelId="{E7791D43-4E29-C24C-BD02-13B7A6B67230}" type="presParOf" srcId="{9DD4B7C0-FA07-FB4A-B6D0-94C8CD55FBD7}" destId="{5471A1F5-0710-1C44-AAB6-12781F76C907}" srcOrd="0" destOrd="0" presId="urn:microsoft.com/office/officeart/2005/8/layout/orgChart1"/>
    <dgm:cxn modelId="{18776410-3F5C-504D-96FD-374BE0DB0326}" type="presParOf" srcId="{5471A1F5-0710-1C44-AAB6-12781F76C907}" destId="{05727FB7-86A1-3D48-A85F-09165038AB6C}" srcOrd="0" destOrd="0" presId="urn:microsoft.com/office/officeart/2005/8/layout/orgChart1"/>
    <dgm:cxn modelId="{A44A4095-69D0-6D40-BFDE-9163DA1592BA}" type="presParOf" srcId="{5471A1F5-0710-1C44-AAB6-12781F76C907}" destId="{D9C1AD69-E00B-7740-980F-6032F9638CD6}" srcOrd="1" destOrd="0" presId="urn:microsoft.com/office/officeart/2005/8/layout/orgChart1"/>
    <dgm:cxn modelId="{4164B71E-B9CA-0745-8973-F965C3CC12A9}" type="presParOf" srcId="{9DD4B7C0-FA07-FB4A-B6D0-94C8CD55FBD7}" destId="{4EAAF064-BBE0-914F-AB0D-97C3D7997235}" srcOrd="1" destOrd="0" presId="urn:microsoft.com/office/officeart/2005/8/layout/orgChart1"/>
    <dgm:cxn modelId="{AE7A6073-42C5-5A43-8E24-9E9AC2BB12F6}" type="presParOf" srcId="{4EAAF064-BBE0-914F-AB0D-97C3D7997235}" destId="{5A4A46BC-DBF1-9448-BD20-02307E68A961}" srcOrd="0" destOrd="0" presId="urn:microsoft.com/office/officeart/2005/8/layout/orgChart1"/>
    <dgm:cxn modelId="{154D9BFD-03DF-8143-8EC7-C88265AA707C}" type="presParOf" srcId="{4EAAF064-BBE0-914F-AB0D-97C3D7997235}" destId="{341C8945-8859-3745-ACF6-455DFF79AAC7}" srcOrd="1" destOrd="0" presId="urn:microsoft.com/office/officeart/2005/8/layout/orgChart1"/>
    <dgm:cxn modelId="{280A367C-A8AF-6440-A321-B26138D5B684}" type="presParOf" srcId="{341C8945-8859-3745-ACF6-455DFF79AAC7}" destId="{6D4C6353-8697-7744-BB2C-62405F3FE35F}" srcOrd="0" destOrd="0" presId="urn:microsoft.com/office/officeart/2005/8/layout/orgChart1"/>
    <dgm:cxn modelId="{2FFE94F9-3E1F-694C-B776-DF9093B09AD6}" type="presParOf" srcId="{6D4C6353-8697-7744-BB2C-62405F3FE35F}" destId="{EC0144D2-7FE2-1F4E-9BF5-A0650261EF33}" srcOrd="0" destOrd="0" presId="urn:microsoft.com/office/officeart/2005/8/layout/orgChart1"/>
    <dgm:cxn modelId="{35EACB26-26D7-C04B-B7AA-8FC88F6E42B5}" type="presParOf" srcId="{6D4C6353-8697-7744-BB2C-62405F3FE35F}" destId="{B21078AB-C0CA-F14E-A5DD-78B50A1F2521}" srcOrd="1" destOrd="0" presId="urn:microsoft.com/office/officeart/2005/8/layout/orgChart1"/>
    <dgm:cxn modelId="{E2667D37-B532-7340-9F07-9ABDDBE02CD1}" type="presParOf" srcId="{341C8945-8859-3745-ACF6-455DFF79AAC7}" destId="{23206DF9-F9FB-3E45-927B-1726EF28343D}" srcOrd="1" destOrd="0" presId="urn:microsoft.com/office/officeart/2005/8/layout/orgChart1"/>
    <dgm:cxn modelId="{D901F5D6-5906-D546-B203-8FF134FE1E1A}" type="presParOf" srcId="{341C8945-8859-3745-ACF6-455DFF79AAC7}" destId="{1B9993C9-D181-9B46-9740-05E5307DD9DB}" srcOrd="2" destOrd="0" presId="urn:microsoft.com/office/officeart/2005/8/layout/orgChart1"/>
    <dgm:cxn modelId="{FF85A756-7B74-4B49-94ED-73AA97BC52D3}" type="presParOf" srcId="{9DD4B7C0-FA07-FB4A-B6D0-94C8CD55FBD7}" destId="{E85AF9AD-863D-D141-9D28-BCC027E18137}" srcOrd="2" destOrd="0" presId="urn:microsoft.com/office/officeart/2005/8/layout/orgChart1"/>
    <dgm:cxn modelId="{E68E3964-22E0-404D-AE28-5CB83518E386}" type="presParOf" srcId="{D90A5C55-7577-7E4D-932F-E396549EC80B}" destId="{77F1CD78-0BF5-BC4E-BD4F-0C613EDBDD18}" srcOrd="4" destOrd="0" presId="urn:microsoft.com/office/officeart/2005/8/layout/orgChart1"/>
    <dgm:cxn modelId="{132C6529-940D-D740-93AC-2D249EF73123}" type="presParOf" srcId="{D90A5C55-7577-7E4D-932F-E396549EC80B}" destId="{CBA90AF0-B1F7-E34D-A755-07390C24C09B}" srcOrd="5" destOrd="0" presId="urn:microsoft.com/office/officeart/2005/8/layout/orgChart1"/>
    <dgm:cxn modelId="{8AEA6AD3-723A-A24E-B81B-B68AD1BD6B3D}" type="presParOf" srcId="{CBA90AF0-B1F7-E34D-A755-07390C24C09B}" destId="{95E7BEB9-BD45-E748-8E11-BFC1D249FC1D}" srcOrd="0" destOrd="0" presId="urn:microsoft.com/office/officeart/2005/8/layout/orgChart1"/>
    <dgm:cxn modelId="{1058AD86-93C2-3440-B7EC-EDA8522FC323}" type="presParOf" srcId="{95E7BEB9-BD45-E748-8E11-BFC1D249FC1D}" destId="{E1F35517-C116-6448-8CAB-51BB92C764C7}" srcOrd="0" destOrd="0" presId="urn:microsoft.com/office/officeart/2005/8/layout/orgChart1"/>
    <dgm:cxn modelId="{4EFE00F1-0D09-8745-ACEA-CC0AB1AE1ED6}" type="presParOf" srcId="{95E7BEB9-BD45-E748-8E11-BFC1D249FC1D}" destId="{E9C25C83-7F64-3846-A79B-DD00F811850D}" srcOrd="1" destOrd="0" presId="urn:microsoft.com/office/officeart/2005/8/layout/orgChart1"/>
    <dgm:cxn modelId="{404C33E1-2D8D-5B46-ADE8-18546487C114}" type="presParOf" srcId="{CBA90AF0-B1F7-E34D-A755-07390C24C09B}" destId="{8137FAE3-7C01-6A43-A7F1-F629EE5EEFA1}" srcOrd="1" destOrd="0" presId="urn:microsoft.com/office/officeart/2005/8/layout/orgChart1"/>
    <dgm:cxn modelId="{FCC862C4-5B35-B948-8657-6198A5E04102}" type="presParOf" srcId="{8137FAE3-7C01-6A43-A7F1-F629EE5EEFA1}" destId="{F9F6F4A0-7AC9-5A4A-BDE5-326A077691EA}" srcOrd="0" destOrd="0" presId="urn:microsoft.com/office/officeart/2005/8/layout/orgChart1"/>
    <dgm:cxn modelId="{AB0EE193-B7C8-7843-953F-00E8B1DCD763}" type="presParOf" srcId="{8137FAE3-7C01-6A43-A7F1-F629EE5EEFA1}" destId="{CD26E695-FD45-1149-B09C-6A92A766CB0D}" srcOrd="1" destOrd="0" presId="urn:microsoft.com/office/officeart/2005/8/layout/orgChart1"/>
    <dgm:cxn modelId="{2029E998-236E-1B4B-BF39-C0DB684CE1A1}" type="presParOf" srcId="{CD26E695-FD45-1149-B09C-6A92A766CB0D}" destId="{146635D9-C6D5-1A45-958D-E81A329D1C63}" srcOrd="0" destOrd="0" presId="urn:microsoft.com/office/officeart/2005/8/layout/orgChart1"/>
    <dgm:cxn modelId="{DC8BF5BD-547C-7041-B074-7773C9B6254E}" type="presParOf" srcId="{146635D9-C6D5-1A45-958D-E81A329D1C63}" destId="{C957E3DB-D11E-9E4E-8AF6-6DF82C0D97A9}" srcOrd="0" destOrd="0" presId="urn:microsoft.com/office/officeart/2005/8/layout/orgChart1"/>
    <dgm:cxn modelId="{A6813F43-554D-3D42-B728-C056F3F07A3E}" type="presParOf" srcId="{146635D9-C6D5-1A45-958D-E81A329D1C63}" destId="{8A807589-00D9-B64D-9196-7EA94CE66170}" srcOrd="1" destOrd="0" presId="urn:microsoft.com/office/officeart/2005/8/layout/orgChart1"/>
    <dgm:cxn modelId="{BFB81B3D-1054-0742-B164-AC016BA2ED31}" type="presParOf" srcId="{CD26E695-FD45-1149-B09C-6A92A766CB0D}" destId="{F3C6C34D-4833-3341-9277-A6D52D51A4B3}" srcOrd="1" destOrd="0" presId="urn:microsoft.com/office/officeart/2005/8/layout/orgChart1"/>
    <dgm:cxn modelId="{ABACC87D-CBD2-1042-A446-2A5195E34EC2}" type="presParOf" srcId="{CD26E695-FD45-1149-B09C-6A92A766CB0D}" destId="{96C96D3C-6463-DB4B-A3E2-4CE23E62A1FF}" srcOrd="2" destOrd="0" presId="urn:microsoft.com/office/officeart/2005/8/layout/orgChart1"/>
    <dgm:cxn modelId="{AAE43EA1-64A1-614E-AB3B-00BC110B00CD}" type="presParOf" srcId="{CBA90AF0-B1F7-E34D-A755-07390C24C09B}" destId="{2C57E8C1-C14C-1A48-8E27-D7E9BB1D191D}" srcOrd="2" destOrd="0" presId="urn:microsoft.com/office/officeart/2005/8/layout/orgChart1"/>
    <dgm:cxn modelId="{8678A42B-2853-A446-8F09-C07CA508AD06}" type="presParOf" srcId="{DBA7BF4F-F18F-294F-A876-E7BA4AAD59AD}" destId="{9BDC1626-D75F-9547-9ECC-9F9EE4476EA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6F4A0-7AC9-5A4A-BDE5-326A077691EA}">
      <dsp:nvSpPr>
        <dsp:cNvPr id="0" name=""/>
        <dsp:cNvSpPr/>
      </dsp:nvSpPr>
      <dsp:spPr>
        <a:xfrm>
          <a:off x="4869665" y="2542889"/>
          <a:ext cx="135835" cy="1443703"/>
        </a:xfrm>
        <a:custGeom>
          <a:avLst/>
          <a:gdLst/>
          <a:ahLst/>
          <a:cxnLst/>
          <a:rect l="0" t="0" r="0" b="0"/>
          <a:pathLst>
            <a:path>
              <a:moveTo>
                <a:pt x="135835" y="0"/>
              </a:moveTo>
              <a:lnTo>
                <a:pt x="0" y="1443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F1CD78-0BF5-BC4E-BD4F-0C613EDBDD18}">
      <dsp:nvSpPr>
        <dsp:cNvPr id="0" name=""/>
        <dsp:cNvSpPr/>
      </dsp:nvSpPr>
      <dsp:spPr>
        <a:xfrm>
          <a:off x="3574478" y="1187852"/>
          <a:ext cx="2258503" cy="269975"/>
        </a:xfrm>
        <a:custGeom>
          <a:avLst/>
          <a:gdLst/>
          <a:ahLst/>
          <a:cxnLst/>
          <a:rect l="0" t="0" r="0" b="0"/>
          <a:pathLst>
            <a:path>
              <a:moveTo>
                <a:pt x="0" y="0"/>
              </a:moveTo>
              <a:lnTo>
                <a:pt x="0" y="223367"/>
              </a:lnTo>
              <a:lnTo>
                <a:pt x="2258503" y="223367"/>
              </a:lnTo>
              <a:lnTo>
                <a:pt x="2258503" y="26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A46BC-DBF1-9448-BD20-02307E68A961}">
      <dsp:nvSpPr>
        <dsp:cNvPr id="0" name=""/>
        <dsp:cNvSpPr/>
      </dsp:nvSpPr>
      <dsp:spPr>
        <a:xfrm>
          <a:off x="1395106" y="2719395"/>
          <a:ext cx="1312320" cy="1621214"/>
        </a:xfrm>
        <a:custGeom>
          <a:avLst/>
          <a:gdLst/>
          <a:ahLst/>
          <a:cxnLst/>
          <a:rect l="0" t="0" r="0" b="0"/>
          <a:pathLst>
            <a:path>
              <a:moveTo>
                <a:pt x="1312320" y="0"/>
              </a:moveTo>
              <a:lnTo>
                <a:pt x="0" y="1621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282C3-65AD-084B-AA6F-5B110770A0F9}">
      <dsp:nvSpPr>
        <dsp:cNvPr id="0" name=""/>
        <dsp:cNvSpPr/>
      </dsp:nvSpPr>
      <dsp:spPr>
        <a:xfrm>
          <a:off x="3224550" y="1187852"/>
          <a:ext cx="349928" cy="310498"/>
        </a:xfrm>
        <a:custGeom>
          <a:avLst/>
          <a:gdLst/>
          <a:ahLst/>
          <a:cxnLst/>
          <a:rect l="0" t="0" r="0" b="0"/>
          <a:pathLst>
            <a:path>
              <a:moveTo>
                <a:pt x="349928" y="0"/>
              </a:moveTo>
              <a:lnTo>
                <a:pt x="349928" y="263890"/>
              </a:lnTo>
              <a:lnTo>
                <a:pt x="0" y="263890"/>
              </a:lnTo>
              <a:lnTo>
                <a:pt x="0" y="310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2CCAC-FBB7-004E-AA48-F989B0D1AD37}">
      <dsp:nvSpPr>
        <dsp:cNvPr id="0" name=""/>
        <dsp:cNvSpPr/>
      </dsp:nvSpPr>
      <dsp:spPr>
        <a:xfrm>
          <a:off x="1088037" y="1187852"/>
          <a:ext cx="2486441" cy="269975"/>
        </a:xfrm>
        <a:custGeom>
          <a:avLst/>
          <a:gdLst/>
          <a:ahLst/>
          <a:cxnLst/>
          <a:rect l="0" t="0" r="0" b="0"/>
          <a:pathLst>
            <a:path>
              <a:moveTo>
                <a:pt x="2486441" y="0"/>
              </a:moveTo>
              <a:lnTo>
                <a:pt x="2486441" y="223367"/>
              </a:lnTo>
              <a:lnTo>
                <a:pt x="0" y="223367"/>
              </a:lnTo>
              <a:lnTo>
                <a:pt x="0" y="269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093CA-E9AA-6345-8A85-7FBD4D35AB81}">
      <dsp:nvSpPr>
        <dsp:cNvPr id="0" name=""/>
        <dsp:cNvSpPr/>
      </dsp:nvSpPr>
      <dsp:spPr>
        <a:xfrm>
          <a:off x="2687022" y="336390"/>
          <a:ext cx="1774912" cy="8514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Late onset clincal sepsis syndrome (age equal or greater than 7 days)</a:t>
          </a:r>
        </a:p>
      </dsp:txBody>
      <dsp:txXfrm>
        <a:off x="2687022" y="336390"/>
        <a:ext cx="1774912" cy="851461"/>
      </dsp:txXfrm>
    </dsp:sp>
    <dsp:sp modelId="{53C1EB2F-797C-EB47-977A-367D7657C312}">
      <dsp:nvSpPr>
        <dsp:cNvPr id="0" name=""/>
        <dsp:cNvSpPr/>
      </dsp:nvSpPr>
      <dsp:spPr>
        <a:xfrm>
          <a:off x="234864" y="1457828"/>
          <a:ext cx="1706345" cy="1195927"/>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“Rule-out” late-onset sepsis (48 hr r/o or 5d cx- sepsis):</a:t>
          </a:r>
        </a:p>
        <a:p>
          <a:pPr lvl="0" algn="ctr" defTabSz="622300">
            <a:lnSpc>
              <a:spcPct val="90000"/>
            </a:lnSpc>
            <a:spcBef>
              <a:spcPct val="0"/>
            </a:spcBef>
            <a:spcAft>
              <a:spcPct val="35000"/>
            </a:spcAft>
          </a:pPr>
          <a:r>
            <a:rPr lang="en-US" sz="1400" kern="1200">
              <a:solidFill>
                <a:schemeClr val="tx1"/>
              </a:solidFill>
            </a:rPr>
            <a:t>amp + gent OR </a:t>
          </a:r>
        </a:p>
        <a:p>
          <a:pPr lvl="0" algn="ctr" defTabSz="622300">
            <a:lnSpc>
              <a:spcPct val="90000"/>
            </a:lnSpc>
            <a:spcBef>
              <a:spcPct val="0"/>
            </a:spcBef>
            <a:spcAft>
              <a:spcPct val="35000"/>
            </a:spcAft>
          </a:pPr>
          <a:r>
            <a:rPr lang="en-US" sz="1400" kern="1200">
              <a:solidFill>
                <a:schemeClr val="tx1"/>
              </a:solidFill>
            </a:rPr>
            <a:t>vanc + gent</a:t>
          </a:r>
          <a:r>
            <a:rPr lang="en-US" sz="1400" kern="1200" baseline="30000">
              <a:solidFill>
                <a:schemeClr val="tx1"/>
              </a:solidFill>
            </a:rPr>
            <a:t>(4,6,7)</a:t>
          </a:r>
        </a:p>
      </dsp:txBody>
      <dsp:txXfrm>
        <a:off x="234864" y="1457828"/>
        <a:ext cx="1706345" cy="1195927"/>
      </dsp:txXfrm>
    </dsp:sp>
    <dsp:sp modelId="{05727FB7-86A1-3D48-A85F-09165038AB6C}">
      <dsp:nvSpPr>
        <dsp:cNvPr id="0" name=""/>
        <dsp:cNvSpPr/>
      </dsp:nvSpPr>
      <dsp:spPr>
        <a:xfrm>
          <a:off x="2578146" y="1498350"/>
          <a:ext cx="1292808" cy="1221045"/>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If suspect meningitis:</a:t>
          </a:r>
        </a:p>
        <a:p>
          <a:pPr lvl="0" algn="ctr" defTabSz="622300">
            <a:lnSpc>
              <a:spcPct val="90000"/>
            </a:lnSpc>
            <a:spcBef>
              <a:spcPct val="0"/>
            </a:spcBef>
            <a:spcAft>
              <a:spcPct val="35000"/>
            </a:spcAft>
          </a:pPr>
          <a:r>
            <a:rPr lang="en-US" sz="1400" kern="1200">
              <a:solidFill>
                <a:schemeClr val="tx1"/>
              </a:solidFill>
            </a:rPr>
            <a:t> amp OR vanc AND cefotaxime</a:t>
          </a:r>
          <a:r>
            <a:rPr lang="en-US" sz="1400" kern="1200" baseline="30000">
              <a:solidFill>
                <a:schemeClr val="tx1"/>
              </a:solidFill>
            </a:rPr>
            <a:t>(4,5,6)</a:t>
          </a:r>
        </a:p>
      </dsp:txBody>
      <dsp:txXfrm>
        <a:off x="2578146" y="1498350"/>
        <a:ext cx="1292808" cy="1221045"/>
      </dsp:txXfrm>
    </dsp:sp>
    <dsp:sp modelId="{EC0144D2-7FE2-1F4E-9BF5-A0650261EF33}">
      <dsp:nvSpPr>
        <dsp:cNvPr id="0" name=""/>
        <dsp:cNvSpPr/>
      </dsp:nvSpPr>
      <dsp:spPr>
        <a:xfrm>
          <a:off x="1395106" y="3312941"/>
          <a:ext cx="2864962" cy="2055337"/>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tx1"/>
              </a:solidFill>
            </a:rPr>
            <a:t>Duration of treatment for meningitis is generally 14 days for gram positive infections and 21 days for gram negative infections if infant clinically responding, and laboratory data and radiologic studies support clinical response.</a:t>
          </a:r>
        </a:p>
        <a:p>
          <a:pPr lvl="0" algn="ctr" defTabSz="533400">
            <a:lnSpc>
              <a:spcPct val="90000"/>
            </a:lnSpc>
            <a:spcBef>
              <a:spcPct val="0"/>
            </a:spcBef>
            <a:spcAft>
              <a:spcPct val="35000"/>
            </a:spcAft>
          </a:pPr>
          <a:r>
            <a:rPr lang="en-US" sz="1200" b="0" kern="1200">
              <a:solidFill>
                <a:schemeClr val="tx1"/>
              </a:solidFill>
            </a:rPr>
            <a:t>For GBS meningitis it is recommended to repeat LP at 48-72 hours and at end of therapy as well as obtain imaging studies, preferably an MRI.</a:t>
          </a:r>
        </a:p>
        <a:p>
          <a:pPr lvl="0" algn="ctr" defTabSz="533400">
            <a:lnSpc>
              <a:spcPct val="90000"/>
            </a:lnSpc>
            <a:spcBef>
              <a:spcPct val="0"/>
            </a:spcBef>
            <a:spcAft>
              <a:spcPct val="35000"/>
            </a:spcAft>
          </a:pPr>
          <a:r>
            <a:rPr lang="en-US" sz="1200" b="1" i="1" u="sng" kern="1200">
              <a:solidFill>
                <a:schemeClr val="tx1"/>
              </a:solidFill>
            </a:rPr>
            <a:t>Consultation with Peds ID is recommended</a:t>
          </a:r>
        </a:p>
      </dsp:txBody>
      <dsp:txXfrm>
        <a:off x="1395106" y="3312941"/>
        <a:ext cx="2864962" cy="2055337"/>
      </dsp:txXfrm>
    </dsp:sp>
    <dsp:sp modelId="{E1F35517-C116-6448-8CAB-51BB92C764C7}">
      <dsp:nvSpPr>
        <dsp:cNvPr id="0" name=""/>
        <dsp:cNvSpPr/>
      </dsp:nvSpPr>
      <dsp:spPr>
        <a:xfrm>
          <a:off x="4798630" y="1457828"/>
          <a:ext cx="2068702" cy="1085060"/>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chemeClr val="tx1"/>
              </a:solidFill>
            </a:rPr>
            <a:t>If suspect intrabdominal infection </a:t>
          </a:r>
          <a:r>
            <a:rPr lang="en-US" sz="1400" kern="1200" baseline="30000">
              <a:solidFill>
                <a:schemeClr val="tx1"/>
              </a:solidFill>
            </a:rPr>
            <a:t>(3)</a:t>
          </a:r>
          <a:r>
            <a:rPr lang="en-US" sz="1400" kern="1200">
              <a:solidFill>
                <a:schemeClr val="tx1"/>
              </a:solidFill>
            </a:rPr>
            <a:t>:</a:t>
          </a:r>
        </a:p>
        <a:p>
          <a:pPr lvl="0" algn="ctr" defTabSz="622300">
            <a:lnSpc>
              <a:spcPct val="90000"/>
            </a:lnSpc>
            <a:spcBef>
              <a:spcPct val="0"/>
            </a:spcBef>
            <a:spcAft>
              <a:spcPct val="35000"/>
            </a:spcAft>
          </a:pPr>
          <a:r>
            <a:rPr lang="en-US" sz="1400" kern="1200">
              <a:solidFill>
                <a:schemeClr val="tx1"/>
              </a:solidFill>
            </a:rPr>
            <a:t>Zosyn alone /</a:t>
          </a:r>
        </a:p>
        <a:p>
          <a:pPr lvl="0" algn="ctr" defTabSz="622300">
            <a:lnSpc>
              <a:spcPct val="90000"/>
            </a:lnSpc>
            <a:spcBef>
              <a:spcPct val="0"/>
            </a:spcBef>
            <a:spcAft>
              <a:spcPct val="35000"/>
            </a:spcAft>
          </a:pPr>
          <a:r>
            <a:rPr lang="en-US" sz="1400" kern="1200">
              <a:solidFill>
                <a:schemeClr val="tx1"/>
              </a:solidFill>
            </a:rPr>
            <a:t>+/- Vancomycin</a:t>
          </a:r>
          <a:r>
            <a:rPr lang="en-US" sz="1400" kern="1200" baseline="30000">
              <a:solidFill>
                <a:schemeClr val="tx1"/>
              </a:solidFill>
            </a:rPr>
            <a:t>(7)</a:t>
          </a:r>
        </a:p>
      </dsp:txBody>
      <dsp:txXfrm>
        <a:off x="4798630" y="1457828"/>
        <a:ext cx="2068702" cy="1085060"/>
      </dsp:txXfrm>
    </dsp:sp>
    <dsp:sp modelId="{C957E3DB-D11E-9E4E-8AF6-6DF82C0D97A9}">
      <dsp:nvSpPr>
        <dsp:cNvPr id="0" name=""/>
        <dsp:cNvSpPr/>
      </dsp:nvSpPr>
      <dsp:spPr>
        <a:xfrm>
          <a:off x="4869665" y="3149858"/>
          <a:ext cx="2000881" cy="1673469"/>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tx1"/>
              </a:solidFill>
            </a:rPr>
            <a:t>Length of treatment for true intrabdominal infections may be 21 (</a:t>
          </a:r>
          <a:r>
            <a:rPr lang="en-US" sz="1200" b="0" kern="1200">
              <a:solidFill>
                <a:schemeClr val="tx1"/>
              </a:solidFill>
              <a:latin typeface="Times New Roman"/>
              <a:cs typeface="Times New Roman"/>
            </a:rPr>
            <a:t>±7) </a:t>
          </a:r>
          <a:r>
            <a:rPr lang="en-US" sz="1200" b="0" kern="1200">
              <a:solidFill>
                <a:schemeClr val="tx1"/>
              </a:solidFill>
            </a:rPr>
            <a:t>days if infant clinically responding and laboratory data and radiologic studies support this duration of treatment.</a:t>
          </a:r>
        </a:p>
        <a:p>
          <a:pPr lvl="0" algn="ctr" defTabSz="533400">
            <a:lnSpc>
              <a:spcPct val="90000"/>
            </a:lnSpc>
            <a:spcBef>
              <a:spcPct val="0"/>
            </a:spcBef>
            <a:spcAft>
              <a:spcPct val="35000"/>
            </a:spcAft>
          </a:pPr>
          <a:r>
            <a:rPr lang="en-US" sz="1200" b="1" i="1" u="sng" kern="1200">
              <a:solidFill>
                <a:schemeClr val="tx1"/>
              </a:solidFill>
            </a:rPr>
            <a:t>Consultation with Peds ID is recommended</a:t>
          </a:r>
          <a:endParaRPr lang="en-US" sz="1200" b="0" kern="1200">
            <a:solidFill>
              <a:schemeClr val="tx1"/>
            </a:solidFill>
          </a:endParaRPr>
        </a:p>
      </dsp:txBody>
      <dsp:txXfrm>
        <a:off x="4869665" y="3149858"/>
        <a:ext cx="2000881" cy="16734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1FD3-4EFE-4443-97C7-26D25EA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SBUMC</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DeMeo, Corinne M.</dc:creator>
  <cp:keywords/>
  <dc:description/>
  <cp:lastModifiedBy>Hymes, Saul</cp:lastModifiedBy>
  <cp:revision>5</cp:revision>
  <cp:lastPrinted>2013-03-28T21:38:00Z</cp:lastPrinted>
  <dcterms:created xsi:type="dcterms:W3CDTF">2015-05-04T02:56:00Z</dcterms:created>
  <dcterms:modified xsi:type="dcterms:W3CDTF">2016-07-30T00:50:00Z</dcterms:modified>
</cp:coreProperties>
</file>