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33" w:rsidRPr="00EF16D9" w:rsidRDefault="00EF16D9" w:rsidP="004A52EA">
      <w:pPr>
        <w:spacing w:after="0"/>
        <w:jc w:val="center"/>
        <w:rPr>
          <w:b/>
        </w:rPr>
      </w:pPr>
      <w:r w:rsidRPr="00EF16D9">
        <w:rPr>
          <w:b/>
        </w:rPr>
        <w:t>Qualit</w:t>
      </w:r>
      <w:r>
        <w:rPr>
          <w:b/>
        </w:rPr>
        <w:t xml:space="preserve">y of Pain Assessment Scales in </w:t>
      </w:r>
      <w:r w:rsidRPr="00EF16D9">
        <w:rPr>
          <w:b/>
        </w:rPr>
        <w:t>Cognitively Impaired Children</w:t>
      </w:r>
    </w:p>
    <w:p w:rsidR="00EF16D9" w:rsidRDefault="00EF16D9" w:rsidP="004A52EA">
      <w:pPr>
        <w:spacing w:after="0"/>
        <w:jc w:val="center"/>
      </w:pPr>
      <w:r>
        <w:t xml:space="preserve">Alice </w:t>
      </w:r>
      <w:proofErr w:type="spellStart"/>
      <w:r>
        <w:t>Rutatangwa</w:t>
      </w:r>
      <w:proofErr w:type="spellEnd"/>
      <w:r>
        <w:t>, DO</w:t>
      </w:r>
    </w:p>
    <w:p w:rsidR="00EF16D9" w:rsidRDefault="00EF16D9" w:rsidP="004A52EA">
      <w:pPr>
        <w:spacing w:after="0"/>
        <w:jc w:val="center"/>
      </w:pPr>
      <w:r>
        <w:t>10/30/14</w:t>
      </w:r>
    </w:p>
    <w:p w:rsidR="00EF16D9" w:rsidRDefault="00EF16D9" w:rsidP="004A52EA">
      <w:pPr>
        <w:spacing w:after="0"/>
      </w:pPr>
    </w:p>
    <w:p w:rsidR="00EF16D9" w:rsidRPr="00EF16D9" w:rsidRDefault="00A34733" w:rsidP="004A52EA">
      <w:pPr>
        <w:spacing w:after="0"/>
      </w:pPr>
      <w:r>
        <w:t>Pain is</w:t>
      </w:r>
      <w:r w:rsidR="00EF16D9" w:rsidRPr="00EF16D9">
        <w:t xml:space="preserve"> as an unpleasan</w:t>
      </w:r>
      <w:r w:rsidR="00EF16D9">
        <w:t>t somatic or visceral sensation that</w:t>
      </w:r>
      <w:r w:rsidR="00EF16D9" w:rsidRPr="00EF16D9">
        <w:rPr>
          <w:bCs/>
        </w:rPr>
        <w:t xml:space="preserve"> is subjective and can ideally be communicated through self-reporting</w:t>
      </w:r>
      <w:r w:rsidR="00EF16D9" w:rsidRPr="00EF16D9">
        <w:t xml:space="preserve">. </w:t>
      </w:r>
      <w:r w:rsidR="00EF16D9">
        <w:t xml:space="preserve">It is </w:t>
      </w:r>
      <w:r w:rsidR="00EF16D9" w:rsidRPr="00EF16D9">
        <w:t>associated with actual, potential, or perceived tissue damage.</w:t>
      </w:r>
    </w:p>
    <w:p w:rsidR="001E42CA" w:rsidRDefault="00EF16D9" w:rsidP="004A52EA">
      <w:pPr>
        <w:spacing w:after="0"/>
        <w:rPr>
          <w:bCs/>
        </w:rPr>
      </w:pPr>
      <w:r w:rsidRPr="00EF16D9">
        <w:rPr>
          <w:bCs/>
        </w:rPr>
        <w:t xml:space="preserve">In the pediatric population, studies have shown that pain can be assessed through either self </w:t>
      </w:r>
      <w:r>
        <w:rPr>
          <w:bCs/>
        </w:rPr>
        <w:t>-</w:t>
      </w:r>
      <w:r w:rsidR="004A52EA">
        <w:rPr>
          <w:bCs/>
        </w:rPr>
        <w:t>reporting , which</w:t>
      </w:r>
      <w:r w:rsidRPr="00EF16D9">
        <w:rPr>
          <w:bCs/>
        </w:rPr>
        <w:t xml:space="preserve"> </w:t>
      </w:r>
      <w:r w:rsidR="004C0EE2" w:rsidRPr="00EF16D9">
        <w:rPr>
          <w:bCs/>
        </w:rPr>
        <w:t>is the “gold s</w:t>
      </w:r>
      <w:r w:rsidRPr="00EF16D9">
        <w:rPr>
          <w:bCs/>
        </w:rPr>
        <w:t>tandard” for pain assessment for</w:t>
      </w:r>
      <w:r w:rsidR="004A52EA">
        <w:rPr>
          <w:bCs/>
        </w:rPr>
        <w:t xml:space="preserve"> children  above 3yrs and </w:t>
      </w:r>
      <w:r w:rsidRPr="00EF16D9">
        <w:rPr>
          <w:bCs/>
        </w:rPr>
        <w:t>with no cognitive impairment</w:t>
      </w:r>
      <w:r w:rsidR="004A52EA">
        <w:rPr>
          <w:bCs/>
        </w:rPr>
        <w:t xml:space="preserve"> (CI)</w:t>
      </w:r>
      <w:r w:rsidRPr="00EF16D9">
        <w:rPr>
          <w:bCs/>
        </w:rPr>
        <w:t xml:space="preserve">, or through the use of behavioral pain assessment scales for children less than 3 years old or with CI. </w:t>
      </w:r>
    </w:p>
    <w:p w:rsidR="00EF16D9" w:rsidRDefault="00EF16D9" w:rsidP="004A52EA">
      <w:pPr>
        <w:spacing w:after="0"/>
        <w:rPr>
          <w:bCs/>
        </w:rPr>
      </w:pPr>
      <w:r w:rsidRPr="002F26A2">
        <w:rPr>
          <w:bCs/>
        </w:rPr>
        <w:t xml:space="preserve">Children with CI have a wide variety in the physical and expressive abilities </w:t>
      </w:r>
      <w:r w:rsidR="00D70C88">
        <w:rPr>
          <w:bCs/>
        </w:rPr>
        <w:t xml:space="preserve">to communicate pain </w:t>
      </w:r>
      <w:r w:rsidRPr="002F26A2">
        <w:rPr>
          <w:bCs/>
        </w:rPr>
        <w:t xml:space="preserve">and </w:t>
      </w:r>
      <w:r w:rsidR="00D70C88">
        <w:rPr>
          <w:bCs/>
        </w:rPr>
        <w:t xml:space="preserve">they </w:t>
      </w:r>
      <w:r w:rsidRPr="002F26A2">
        <w:rPr>
          <w:bCs/>
        </w:rPr>
        <w:t>are believed to exhibit more behavioral or atypical indicators of pain. Some of which are more common than others, suggesting that behavioral observational tools may be useful to facilitate objective measurement of pain.</w:t>
      </w:r>
      <w:r w:rsidR="002F26A2" w:rsidRPr="002F26A2">
        <w:rPr>
          <w:bCs/>
        </w:rPr>
        <w:t xml:space="preserve"> </w:t>
      </w:r>
      <w:r w:rsidRPr="002F26A2">
        <w:rPr>
          <w:bCs/>
        </w:rPr>
        <w:t xml:space="preserve">Children who are non-verbal depend on others’ to recognize and appropriately assess and manage their pain. Studies have shown significant disparity and under treatment of pain in children and adults with CI. </w:t>
      </w:r>
    </w:p>
    <w:p w:rsidR="00D70C88" w:rsidRPr="002F26A2" w:rsidRDefault="00D70C88" w:rsidP="004A52EA">
      <w:pPr>
        <w:spacing w:after="0"/>
        <w:rPr>
          <w:bCs/>
        </w:rPr>
      </w:pPr>
    </w:p>
    <w:p w:rsidR="008115DA" w:rsidRPr="00A71389" w:rsidRDefault="008115DA" w:rsidP="004A52EA">
      <w:pPr>
        <w:spacing w:after="0"/>
        <w:rPr>
          <w:bCs/>
        </w:rPr>
      </w:pPr>
      <w:r w:rsidRPr="00A71389">
        <w:rPr>
          <w:bCs/>
        </w:rPr>
        <w:t xml:space="preserve">Here I compare four behavioral pain assessment  scales in hopes of finding a more effective and individualized pain scale </w:t>
      </w:r>
      <w:r w:rsidR="001E42CA" w:rsidRPr="00A71389">
        <w:rPr>
          <w:bCs/>
        </w:rPr>
        <w:t xml:space="preserve">to be used </w:t>
      </w:r>
      <w:r w:rsidRPr="00A71389">
        <w:rPr>
          <w:bCs/>
        </w:rPr>
        <w:t>in cognitively impaired pediatric patients</w:t>
      </w:r>
      <w:r w:rsidR="000D0ECD" w:rsidRPr="00A71389">
        <w:rPr>
          <w:bCs/>
        </w:rPr>
        <w:t>;</w:t>
      </w:r>
    </w:p>
    <w:p w:rsidR="00D70C88" w:rsidRPr="00A71389" w:rsidRDefault="000D0ECD" w:rsidP="00A71389">
      <w:pPr>
        <w:rPr>
          <w:bCs/>
        </w:rPr>
      </w:pPr>
      <w:r w:rsidRPr="00A71389">
        <w:rPr>
          <w:bCs/>
        </w:rPr>
        <w:t xml:space="preserve">The </w:t>
      </w:r>
      <w:r w:rsidR="00EF16D9" w:rsidRPr="00A71389">
        <w:rPr>
          <w:bCs/>
        </w:rPr>
        <w:t xml:space="preserve">Non-communicating Children’s Pain Checklist – Postoperative Version </w:t>
      </w:r>
      <w:r w:rsidRPr="00A71389">
        <w:rPr>
          <w:bCs/>
        </w:rPr>
        <w:t xml:space="preserve">(NCCPC-PV) </w:t>
      </w:r>
      <w:r w:rsidR="001E42CA" w:rsidRPr="00A71389">
        <w:rPr>
          <w:bCs/>
        </w:rPr>
        <w:t>is</w:t>
      </w:r>
      <w:r w:rsidR="008115DA" w:rsidRPr="00A71389">
        <w:rPr>
          <w:bCs/>
        </w:rPr>
        <w:t xml:space="preserve"> used </w:t>
      </w:r>
      <w:r w:rsidR="004C0EE2" w:rsidRPr="00A71389">
        <w:rPr>
          <w:bCs/>
        </w:rPr>
        <w:t xml:space="preserve">for </w:t>
      </w:r>
      <w:r w:rsidR="008115DA" w:rsidRPr="00A71389">
        <w:rPr>
          <w:bCs/>
        </w:rPr>
        <w:t xml:space="preserve">assessment of </w:t>
      </w:r>
      <w:r w:rsidR="004C0EE2" w:rsidRPr="00A71389">
        <w:rPr>
          <w:bCs/>
        </w:rPr>
        <w:t>post-operative pain in cognitively impaired children</w:t>
      </w:r>
      <w:r w:rsidR="001E42CA" w:rsidRPr="00A71389">
        <w:rPr>
          <w:bCs/>
        </w:rPr>
        <w:t xml:space="preserve">. </w:t>
      </w:r>
      <w:r w:rsidRPr="00A71389">
        <w:rPr>
          <w:bCs/>
        </w:rPr>
        <w:t xml:space="preserve">The </w:t>
      </w:r>
      <w:r w:rsidR="00EF16D9" w:rsidRPr="00A71389">
        <w:rPr>
          <w:bCs/>
        </w:rPr>
        <w:t xml:space="preserve">Face Legs Activity Cry and </w:t>
      </w:r>
      <w:proofErr w:type="spellStart"/>
      <w:r w:rsidR="00EF16D9" w:rsidRPr="00A71389">
        <w:rPr>
          <w:bCs/>
        </w:rPr>
        <w:t>Consolability</w:t>
      </w:r>
      <w:proofErr w:type="spellEnd"/>
      <w:r w:rsidRPr="00A71389">
        <w:rPr>
          <w:bCs/>
        </w:rPr>
        <w:t xml:space="preserve"> (FLACC)</w:t>
      </w:r>
      <w:r w:rsidRPr="00A71389">
        <w:t xml:space="preserve">, which was </w:t>
      </w:r>
      <w:r w:rsidR="00EF16D9" w:rsidRPr="00A71389">
        <w:t xml:space="preserve">originally studied to be used in cognitively intact children, here </w:t>
      </w:r>
      <w:proofErr w:type="gramStart"/>
      <w:r w:rsidR="001E42CA" w:rsidRPr="00A71389">
        <w:t>i</w:t>
      </w:r>
      <w:r w:rsidRPr="00A71389">
        <w:t>s</w:t>
      </w:r>
      <w:proofErr w:type="gramEnd"/>
      <w:r w:rsidRPr="00A71389">
        <w:t xml:space="preserve"> studied in its application in the cognitively impaired pediatric population. </w:t>
      </w:r>
      <w:r w:rsidRPr="00A71389">
        <w:rPr>
          <w:bCs/>
        </w:rPr>
        <w:t xml:space="preserve"> The </w:t>
      </w:r>
      <w:r w:rsidR="00EF16D9" w:rsidRPr="00A71389">
        <w:rPr>
          <w:bCs/>
        </w:rPr>
        <w:t xml:space="preserve">Revised – Face Legs Activity Cry and </w:t>
      </w:r>
      <w:proofErr w:type="spellStart"/>
      <w:r w:rsidR="00EF16D9" w:rsidRPr="00A71389">
        <w:rPr>
          <w:bCs/>
        </w:rPr>
        <w:t>Consolability</w:t>
      </w:r>
      <w:proofErr w:type="spellEnd"/>
      <w:r w:rsidR="001E42CA" w:rsidRPr="00A71389">
        <w:rPr>
          <w:bCs/>
        </w:rPr>
        <w:t xml:space="preserve"> (Revised-FLACC) i</w:t>
      </w:r>
      <w:r w:rsidRPr="00A71389">
        <w:rPr>
          <w:bCs/>
        </w:rPr>
        <w:t xml:space="preserve">s </w:t>
      </w:r>
      <w:r w:rsidR="00EF16D9" w:rsidRPr="00A71389">
        <w:t>revised to include behavi</w:t>
      </w:r>
      <w:r w:rsidRPr="00A71389">
        <w:t xml:space="preserve">ors more common to CI children and </w:t>
      </w:r>
      <w:r w:rsidR="001E42CA" w:rsidRPr="00A71389">
        <w:t>to use</w:t>
      </w:r>
      <w:r w:rsidRPr="00A71389">
        <w:t xml:space="preserve"> more</w:t>
      </w:r>
      <w:r w:rsidR="00EF16D9" w:rsidRPr="00A71389">
        <w:t xml:space="preserve"> open ended descriptors of pain</w:t>
      </w:r>
      <w:r w:rsidRPr="00A71389">
        <w:t xml:space="preserve"> in comparison to the original FLACC</w:t>
      </w:r>
      <w:r w:rsidR="001E42CA" w:rsidRPr="00A71389">
        <w:t>. Lastly</w:t>
      </w:r>
      <w:r w:rsidR="001E42CA" w:rsidRPr="00A71389">
        <w:rPr>
          <w:bCs/>
        </w:rPr>
        <w:t xml:space="preserve">, </w:t>
      </w:r>
      <w:r w:rsidRPr="00A71389">
        <w:rPr>
          <w:bCs/>
        </w:rPr>
        <w:t xml:space="preserve">the </w:t>
      </w:r>
      <w:r w:rsidR="00EF16D9" w:rsidRPr="00A71389">
        <w:rPr>
          <w:bCs/>
        </w:rPr>
        <w:t xml:space="preserve">Individualized Numeric Rating Scale </w:t>
      </w:r>
      <w:r w:rsidRPr="00A71389">
        <w:t xml:space="preserve">is </w:t>
      </w:r>
      <w:r w:rsidR="00A71389" w:rsidRPr="00A71389">
        <w:t xml:space="preserve">an individual pain scale </w:t>
      </w:r>
      <w:r w:rsidRPr="00A71389">
        <w:t xml:space="preserve">formulated </w:t>
      </w:r>
      <w:r w:rsidR="00EF16D9" w:rsidRPr="00A71389">
        <w:t>based on the child’s unique pain indicators described by caregivers</w:t>
      </w:r>
      <w:r w:rsidRPr="00A71389">
        <w:t>.</w:t>
      </w:r>
    </w:p>
    <w:p w:rsidR="00580F1D" w:rsidRPr="00D70C88" w:rsidRDefault="00D70C88" w:rsidP="00D70C88">
      <w:pPr>
        <w:spacing w:after="0"/>
        <w:jc w:val="center"/>
        <w:rPr>
          <w:b/>
        </w:rPr>
      </w:pPr>
      <w:r w:rsidRPr="00D70C88">
        <w:rPr>
          <w:b/>
        </w:rPr>
        <w:t xml:space="preserve">In children with cognitive impairment, what pain assessment tool </w:t>
      </w:r>
      <w:r w:rsidR="001E42CA">
        <w:rPr>
          <w:b/>
        </w:rPr>
        <w:t>best provides an individualized</w:t>
      </w:r>
      <w:r w:rsidRPr="00D70C88">
        <w:rPr>
          <w:b/>
        </w:rPr>
        <w:t>, reliable and valid pain assessment?</w:t>
      </w:r>
    </w:p>
    <w:p w:rsidR="004A52EA" w:rsidRPr="004A52EA" w:rsidRDefault="004A52EA" w:rsidP="004A52EA">
      <w:pPr>
        <w:spacing w:after="0"/>
        <w:jc w:val="center"/>
        <w:rPr>
          <w:b/>
        </w:rPr>
      </w:pPr>
    </w:p>
    <w:tbl>
      <w:tblPr>
        <w:tblW w:w="0" w:type="auto"/>
        <w:tblCellMar>
          <w:left w:w="0" w:type="dxa"/>
          <w:right w:w="0" w:type="dxa"/>
        </w:tblCellMar>
        <w:tblLook w:val="0420" w:firstRow="1" w:lastRow="0" w:firstColumn="0" w:lastColumn="0" w:noHBand="0" w:noVBand="1"/>
      </w:tblPr>
      <w:tblGrid>
        <w:gridCol w:w="1302"/>
        <w:gridCol w:w="3570"/>
        <w:gridCol w:w="4704"/>
      </w:tblGrid>
      <w:tr w:rsidR="004A52EA" w:rsidRPr="004A52EA" w:rsidTr="004A52EA">
        <w:trPr>
          <w:trHeight w:val="620"/>
        </w:trPr>
        <w:tc>
          <w:tcPr>
            <w:tcW w:w="0" w:type="auto"/>
            <w:tcBorders>
              <w:top w:val="single" w:sz="8" w:space="0" w:color="FFFFFF"/>
              <w:left w:val="single" w:sz="8" w:space="0" w:color="FFFFFF"/>
              <w:bottom w:val="single" w:sz="24" w:space="0" w:color="FFFFFF"/>
              <w:right w:val="single" w:sz="8" w:space="0" w:color="FFFFFF"/>
            </w:tcBorders>
            <w:shd w:val="clear" w:color="auto" w:fill="2C7C9F"/>
            <w:tcMar>
              <w:top w:w="15" w:type="dxa"/>
              <w:left w:w="108" w:type="dxa"/>
              <w:bottom w:w="0" w:type="dxa"/>
              <w:right w:w="108" w:type="dxa"/>
            </w:tcMar>
            <w:hideMark/>
          </w:tcPr>
          <w:p w:rsidR="00434AA1" w:rsidRPr="004A52EA" w:rsidRDefault="004A52EA" w:rsidP="004A52EA">
            <w:pPr>
              <w:spacing w:after="0"/>
            </w:pPr>
            <w:r w:rsidRPr="004A52EA">
              <w:rPr>
                <w:b/>
                <w:bCs/>
              </w:rPr>
              <w:t> </w:t>
            </w:r>
          </w:p>
        </w:tc>
        <w:tc>
          <w:tcPr>
            <w:tcW w:w="0" w:type="auto"/>
            <w:tcBorders>
              <w:top w:val="single" w:sz="8" w:space="0" w:color="FFFFFF"/>
              <w:left w:val="single" w:sz="8" w:space="0" w:color="FFFFFF"/>
              <w:bottom w:val="single" w:sz="24" w:space="0" w:color="FFFFFF"/>
              <w:right w:val="single" w:sz="8" w:space="0" w:color="FFFFFF"/>
            </w:tcBorders>
            <w:shd w:val="clear" w:color="auto" w:fill="2C7C9F"/>
            <w:tcMar>
              <w:top w:w="15" w:type="dxa"/>
              <w:left w:w="108" w:type="dxa"/>
              <w:bottom w:w="0" w:type="dxa"/>
              <w:right w:w="108" w:type="dxa"/>
            </w:tcMar>
            <w:hideMark/>
          </w:tcPr>
          <w:p w:rsidR="00434AA1" w:rsidRPr="004A52EA" w:rsidRDefault="004A52EA" w:rsidP="004A52EA">
            <w:pPr>
              <w:spacing w:after="0"/>
            </w:pPr>
            <w:r w:rsidRPr="004A52EA">
              <w:rPr>
                <w:b/>
                <w:bCs/>
              </w:rPr>
              <w:t>Citation #1</w:t>
            </w:r>
          </w:p>
        </w:tc>
        <w:tc>
          <w:tcPr>
            <w:tcW w:w="0" w:type="auto"/>
            <w:tcBorders>
              <w:top w:val="single" w:sz="8" w:space="0" w:color="FFFFFF"/>
              <w:left w:val="single" w:sz="8" w:space="0" w:color="FFFFFF"/>
              <w:bottom w:val="single" w:sz="24" w:space="0" w:color="FFFFFF"/>
              <w:right w:val="single" w:sz="8" w:space="0" w:color="FFFFFF"/>
            </w:tcBorders>
            <w:shd w:val="clear" w:color="auto" w:fill="2C7C9F"/>
            <w:tcMar>
              <w:top w:w="15" w:type="dxa"/>
              <w:left w:w="108" w:type="dxa"/>
              <w:bottom w:w="0" w:type="dxa"/>
              <w:right w:w="108" w:type="dxa"/>
            </w:tcMar>
            <w:hideMark/>
          </w:tcPr>
          <w:p w:rsidR="00434AA1" w:rsidRPr="004A52EA" w:rsidRDefault="004A52EA" w:rsidP="004A52EA">
            <w:pPr>
              <w:spacing w:after="0"/>
            </w:pPr>
            <w:r w:rsidRPr="004A52EA">
              <w:rPr>
                <w:b/>
                <w:bCs/>
              </w:rPr>
              <w:t>Citation #2</w:t>
            </w:r>
          </w:p>
        </w:tc>
      </w:tr>
      <w:tr w:rsidR="004A52EA" w:rsidRPr="004A52EA" w:rsidTr="004A52EA">
        <w:trPr>
          <w:trHeight w:val="1859"/>
        </w:trPr>
        <w:tc>
          <w:tcPr>
            <w:tcW w:w="0" w:type="auto"/>
            <w:tcBorders>
              <w:top w:val="single" w:sz="24" w:space="0" w:color="FFFFFF"/>
              <w:left w:val="single" w:sz="8" w:space="0" w:color="FFFFFF"/>
              <w:bottom w:val="single" w:sz="8" w:space="0" w:color="FFFFFF"/>
              <w:right w:val="single" w:sz="8" w:space="0" w:color="FFFFFF"/>
            </w:tcBorders>
            <w:shd w:val="clear" w:color="auto" w:fill="CDD7DF"/>
            <w:tcMar>
              <w:top w:w="15" w:type="dxa"/>
              <w:left w:w="108" w:type="dxa"/>
              <w:bottom w:w="0" w:type="dxa"/>
              <w:right w:w="108" w:type="dxa"/>
            </w:tcMar>
            <w:hideMark/>
          </w:tcPr>
          <w:p w:rsidR="00434AA1" w:rsidRPr="004A52EA" w:rsidRDefault="004A52EA" w:rsidP="004A52EA">
            <w:pPr>
              <w:spacing w:after="0"/>
            </w:pPr>
            <w:r w:rsidRPr="004A52EA">
              <w:rPr>
                <w:b/>
                <w:bCs/>
              </w:rPr>
              <w:t>Reference</w:t>
            </w:r>
          </w:p>
        </w:tc>
        <w:tc>
          <w:tcPr>
            <w:tcW w:w="0" w:type="auto"/>
            <w:tcBorders>
              <w:top w:val="single" w:sz="24" w:space="0" w:color="FFFFFF"/>
              <w:left w:val="single" w:sz="8" w:space="0" w:color="FFFFFF"/>
              <w:bottom w:val="single" w:sz="8" w:space="0" w:color="FFFFFF"/>
              <w:right w:val="single" w:sz="8" w:space="0" w:color="FFFFFF"/>
            </w:tcBorders>
            <w:shd w:val="clear" w:color="auto" w:fill="CDD7DF"/>
            <w:tcMar>
              <w:top w:w="15" w:type="dxa"/>
              <w:left w:w="108" w:type="dxa"/>
              <w:bottom w:w="0" w:type="dxa"/>
              <w:right w:w="108" w:type="dxa"/>
            </w:tcMar>
            <w:hideMark/>
          </w:tcPr>
          <w:p w:rsidR="00434AA1" w:rsidRPr="004A52EA" w:rsidRDefault="004A52EA" w:rsidP="004A52EA">
            <w:pPr>
              <w:spacing w:after="0"/>
            </w:pPr>
            <w:proofErr w:type="spellStart"/>
            <w:r w:rsidRPr="004A52EA">
              <w:t>Breau</w:t>
            </w:r>
            <w:proofErr w:type="spellEnd"/>
            <w:r w:rsidRPr="004A52EA">
              <w:t xml:space="preserve">, L.M., et al., </w:t>
            </w:r>
            <w:r w:rsidRPr="004A52EA">
              <w:rPr>
                <w:i/>
                <w:iCs/>
              </w:rPr>
              <w:t>Validation of the Non-communicating Children's Pain Checklist-Postoperative Version. Anesthesiology, 2002. 96(3): p. 528-35.</w:t>
            </w:r>
          </w:p>
        </w:tc>
        <w:tc>
          <w:tcPr>
            <w:tcW w:w="0" w:type="auto"/>
            <w:tcBorders>
              <w:top w:val="single" w:sz="24" w:space="0" w:color="FFFFFF"/>
              <w:left w:val="single" w:sz="8" w:space="0" w:color="FFFFFF"/>
              <w:bottom w:val="single" w:sz="8" w:space="0" w:color="FFFFFF"/>
              <w:right w:val="single" w:sz="8" w:space="0" w:color="FFFFFF"/>
            </w:tcBorders>
            <w:shd w:val="clear" w:color="auto" w:fill="CDD7DF"/>
            <w:tcMar>
              <w:top w:w="15" w:type="dxa"/>
              <w:left w:w="108" w:type="dxa"/>
              <w:bottom w:w="0" w:type="dxa"/>
              <w:right w:w="108" w:type="dxa"/>
            </w:tcMar>
            <w:hideMark/>
          </w:tcPr>
          <w:p w:rsidR="00434AA1" w:rsidRPr="004A52EA" w:rsidRDefault="004A52EA" w:rsidP="004A52EA">
            <w:pPr>
              <w:spacing w:after="0"/>
            </w:pPr>
            <w:r w:rsidRPr="004A52EA">
              <w:t> </w:t>
            </w:r>
            <w:proofErr w:type="spellStart"/>
            <w:r w:rsidRPr="004A52EA">
              <w:t>Voepel</w:t>
            </w:r>
            <w:proofErr w:type="spellEnd"/>
            <w:r w:rsidRPr="004A52EA">
              <w:t xml:space="preserve">-Lewis, T., et al., </w:t>
            </w:r>
            <w:r w:rsidRPr="004A52EA">
              <w:rPr>
                <w:i/>
                <w:iCs/>
              </w:rPr>
              <w:t xml:space="preserve">The reliability and validity of the Face, Legs, Activity, Cry, </w:t>
            </w:r>
            <w:proofErr w:type="spellStart"/>
            <w:r w:rsidRPr="004A52EA">
              <w:rPr>
                <w:i/>
                <w:iCs/>
              </w:rPr>
              <w:t>Consolability</w:t>
            </w:r>
            <w:proofErr w:type="spellEnd"/>
            <w:r w:rsidRPr="004A52EA">
              <w:rPr>
                <w:i/>
                <w:iCs/>
              </w:rPr>
              <w:t xml:space="preserve"> observational tool as a measure of pain in children with cognitive impairment. </w:t>
            </w:r>
            <w:proofErr w:type="spellStart"/>
            <w:r w:rsidRPr="004A52EA">
              <w:rPr>
                <w:i/>
                <w:iCs/>
              </w:rPr>
              <w:t>Anesth</w:t>
            </w:r>
            <w:proofErr w:type="spellEnd"/>
            <w:r w:rsidRPr="004A52EA">
              <w:rPr>
                <w:i/>
                <w:iCs/>
              </w:rPr>
              <w:t xml:space="preserve"> </w:t>
            </w:r>
            <w:proofErr w:type="spellStart"/>
            <w:r w:rsidRPr="004A52EA">
              <w:rPr>
                <w:i/>
                <w:iCs/>
              </w:rPr>
              <w:t>Analg</w:t>
            </w:r>
            <w:proofErr w:type="spellEnd"/>
            <w:r w:rsidRPr="004A52EA">
              <w:rPr>
                <w:i/>
                <w:iCs/>
              </w:rPr>
              <w:t>, 2002. 95(5): p. 1224-9, table of contents.</w:t>
            </w:r>
          </w:p>
        </w:tc>
      </w:tr>
      <w:tr w:rsidR="004A52EA" w:rsidRPr="004A52EA" w:rsidTr="004A52EA">
        <w:trPr>
          <w:trHeight w:val="990"/>
        </w:trPr>
        <w:tc>
          <w:tcPr>
            <w:tcW w:w="0" w:type="auto"/>
            <w:tcBorders>
              <w:top w:val="single" w:sz="8" w:space="0" w:color="FFFFFF"/>
              <w:left w:val="single" w:sz="8" w:space="0" w:color="FFFFFF"/>
              <w:bottom w:val="single" w:sz="8" w:space="0" w:color="FFFFFF"/>
              <w:right w:val="single" w:sz="8" w:space="0" w:color="FFFFFF"/>
            </w:tcBorders>
            <w:shd w:val="clear" w:color="auto" w:fill="E8ECF0"/>
            <w:tcMar>
              <w:top w:w="15" w:type="dxa"/>
              <w:left w:w="108" w:type="dxa"/>
              <w:bottom w:w="0" w:type="dxa"/>
              <w:right w:w="108" w:type="dxa"/>
            </w:tcMar>
            <w:hideMark/>
          </w:tcPr>
          <w:p w:rsidR="004A52EA" w:rsidRPr="004A52EA" w:rsidRDefault="004A52EA" w:rsidP="004A52EA">
            <w:pPr>
              <w:spacing w:after="0"/>
            </w:pPr>
            <w:r w:rsidRPr="004A52EA">
              <w:rPr>
                <w:b/>
                <w:bCs/>
              </w:rPr>
              <w:t>Study Question</w:t>
            </w:r>
          </w:p>
          <w:p w:rsidR="00434AA1" w:rsidRPr="004A52EA" w:rsidRDefault="004A52EA" w:rsidP="004A52EA">
            <w:pPr>
              <w:spacing w:after="0"/>
            </w:pPr>
            <w:r w:rsidRPr="004A52EA">
              <w:rPr>
                <w:b/>
                <w:bCs/>
              </w:rPr>
              <w:t> </w:t>
            </w:r>
          </w:p>
        </w:tc>
        <w:tc>
          <w:tcPr>
            <w:tcW w:w="0" w:type="auto"/>
            <w:tcBorders>
              <w:top w:val="single" w:sz="8" w:space="0" w:color="FFFFFF"/>
              <w:left w:val="single" w:sz="8" w:space="0" w:color="FFFFFF"/>
              <w:bottom w:val="single" w:sz="8" w:space="0" w:color="FFFFFF"/>
              <w:right w:val="single" w:sz="8" w:space="0" w:color="FFFFFF"/>
            </w:tcBorders>
            <w:shd w:val="clear" w:color="auto" w:fill="E8ECF0"/>
            <w:tcMar>
              <w:top w:w="15" w:type="dxa"/>
              <w:left w:w="108" w:type="dxa"/>
              <w:bottom w:w="0" w:type="dxa"/>
              <w:right w:w="108" w:type="dxa"/>
            </w:tcMar>
            <w:hideMark/>
          </w:tcPr>
          <w:p w:rsidR="00434AA1" w:rsidRPr="004A52EA" w:rsidRDefault="004A52EA" w:rsidP="004A52EA">
            <w:pPr>
              <w:spacing w:after="0"/>
            </w:pPr>
            <w:r w:rsidRPr="004A52EA">
              <w:t>Can NCCPC be used for assessment of post-op pain in cognitively impaired children?</w:t>
            </w:r>
          </w:p>
        </w:tc>
        <w:tc>
          <w:tcPr>
            <w:tcW w:w="0" w:type="auto"/>
            <w:tcBorders>
              <w:top w:val="single" w:sz="8" w:space="0" w:color="FFFFFF"/>
              <w:left w:val="single" w:sz="8" w:space="0" w:color="FFFFFF"/>
              <w:bottom w:val="single" w:sz="8" w:space="0" w:color="FFFFFF"/>
              <w:right w:val="single" w:sz="8" w:space="0" w:color="FFFFFF"/>
            </w:tcBorders>
            <w:shd w:val="clear" w:color="auto" w:fill="E8ECF0"/>
            <w:tcMar>
              <w:top w:w="15" w:type="dxa"/>
              <w:left w:w="108" w:type="dxa"/>
              <w:bottom w:w="0" w:type="dxa"/>
              <w:right w:w="108" w:type="dxa"/>
            </w:tcMar>
            <w:hideMark/>
          </w:tcPr>
          <w:p w:rsidR="00434AA1" w:rsidRPr="004A52EA" w:rsidRDefault="004A52EA" w:rsidP="004A52EA">
            <w:pPr>
              <w:spacing w:after="0"/>
            </w:pPr>
            <w:r w:rsidRPr="004A52EA">
              <w:t>Use of the FLACC scoring to objectively and reliably measures pain in children with CI?</w:t>
            </w:r>
          </w:p>
        </w:tc>
      </w:tr>
      <w:tr w:rsidR="004A52EA" w:rsidRPr="004A52EA" w:rsidTr="004A52EA">
        <w:trPr>
          <w:trHeight w:val="908"/>
        </w:trPr>
        <w:tc>
          <w:tcPr>
            <w:tcW w:w="0" w:type="auto"/>
            <w:tcBorders>
              <w:top w:val="single" w:sz="8" w:space="0" w:color="FFFFFF"/>
              <w:left w:val="single" w:sz="8" w:space="0" w:color="FFFFFF"/>
              <w:bottom w:val="single" w:sz="8" w:space="0" w:color="FFFFFF"/>
              <w:right w:val="single" w:sz="8" w:space="0" w:color="FFFFFF"/>
            </w:tcBorders>
            <w:shd w:val="clear" w:color="auto" w:fill="CDD7DF"/>
            <w:tcMar>
              <w:top w:w="15" w:type="dxa"/>
              <w:left w:w="108" w:type="dxa"/>
              <w:bottom w:w="0" w:type="dxa"/>
              <w:right w:w="108" w:type="dxa"/>
            </w:tcMar>
            <w:hideMark/>
          </w:tcPr>
          <w:p w:rsidR="004A52EA" w:rsidRPr="004A52EA" w:rsidRDefault="004A52EA" w:rsidP="004A52EA">
            <w:pPr>
              <w:spacing w:after="0"/>
            </w:pPr>
            <w:r w:rsidRPr="004A52EA">
              <w:rPr>
                <w:b/>
                <w:bCs/>
              </w:rPr>
              <w:lastRenderedPageBreak/>
              <w:t>Study Design</w:t>
            </w:r>
          </w:p>
          <w:p w:rsidR="00434AA1" w:rsidRPr="004A52EA" w:rsidRDefault="004A52EA" w:rsidP="004A52EA">
            <w:pPr>
              <w:spacing w:after="0"/>
            </w:pPr>
            <w:r w:rsidRPr="004A52EA">
              <w:rPr>
                <w:b/>
                <w:bCs/>
              </w:rPr>
              <w:t> </w:t>
            </w:r>
          </w:p>
        </w:tc>
        <w:tc>
          <w:tcPr>
            <w:tcW w:w="0" w:type="auto"/>
            <w:tcBorders>
              <w:top w:val="single" w:sz="8" w:space="0" w:color="FFFFFF"/>
              <w:left w:val="single" w:sz="8" w:space="0" w:color="FFFFFF"/>
              <w:bottom w:val="single" w:sz="8" w:space="0" w:color="FFFFFF"/>
              <w:right w:val="single" w:sz="8" w:space="0" w:color="FFFFFF"/>
            </w:tcBorders>
            <w:shd w:val="clear" w:color="auto" w:fill="CDD7DF"/>
            <w:tcMar>
              <w:top w:w="15" w:type="dxa"/>
              <w:left w:w="108" w:type="dxa"/>
              <w:bottom w:w="0" w:type="dxa"/>
              <w:right w:w="108" w:type="dxa"/>
            </w:tcMar>
            <w:hideMark/>
          </w:tcPr>
          <w:p w:rsidR="00434AA1" w:rsidRPr="004A52EA" w:rsidRDefault="004A52EA" w:rsidP="004A52EA">
            <w:pPr>
              <w:spacing w:after="0"/>
            </w:pPr>
            <w:r w:rsidRPr="004A52EA">
              <w:t>Non-randomized, non-blinded, cross-sectional study</w:t>
            </w:r>
          </w:p>
        </w:tc>
        <w:tc>
          <w:tcPr>
            <w:tcW w:w="0" w:type="auto"/>
            <w:tcBorders>
              <w:top w:val="single" w:sz="8" w:space="0" w:color="FFFFFF"/>
              <w:left w:val="single" w:sz="8" w:space="0" w:color="FFFFFF"/>
              <w:bottom w:val="single" w:sz="8" w:space="0" w:color="FFFFFF"/>
              <w:right w:val="single" w:sz="8" w:space="0" w:color="FFFFFF"/>
            </w:tcBorders>
            <w:shd w:val="clear" w:color="auto" w:fill="CDD7DF"/>
            <w:tcMar>
              <w:top w:w="15" w:type="dxa"/>
              <w:left w:w="108" w:type="dxa"/>
              <w:bottom w:w="0" w:type="dxa"/>
              <w:right w:w="108" w:type="dxa"/>
            </w:tcMar>
            <w:hideMark/>
          </w:tcPr>
          <w:p w:rsidR="00434AA1" w:rsidRPr="004A52EA" w:rsidRDefault="004A52EA" w:rsidP="004A52EA">
            <w:pPr>
              <w:spacing w:after="0"/>
            </w:pPr>
            <w:r w:rsidRPr="004A52EA">
              <w:t>Randomized, investigator blinded prospective cohort study</w:t>
            </w:r>
          </w:p>
        </w:tc>
      </w:tr>
      <w:tr w:rsidR="004A52EA" w:rsidRPr="004A52EA" w:rsidTr="004A52EA">
        <w:trPr>
          <w:trHeight w:val="908"/>
        </w:trPr>
        <w:tc>
          <w:tcPr>
            <w:tcW w:w="0" w:type="auto"/>
            <w:tcBorders>
              <w:top w:val="single" w:sz="8" w:space="0" w:color="FFFFFF"/>
              <w:left w:val="single" w:sz="8" w:space="0" w:color="FFFFFF"/>
              <w:bottom w:val="single" w:sz="8" w:space="0" w:color="FFFFFF"/>
              <w:right w:val="single" w:sz="8" w:space="0" w:color="FFFFFF"/>
            </w:tcBorders>
            <w:shd w:val="clear" w:color="auto" w:fill="E8ECF0"/>
            <w:tcMar>
              <w:top w:w="15" w:type="dxa"/>
              <w:left w:w="108" w:type="dxa"/>
              <w:bottom w:w="0" w:type="dxa"/>
              <w:right w:w="108" w:type="dxa"/>
            </w:tcMar>
            <w:hideMark/>
          </w:tcPr>
          <w:p w:rsidR="004A52EA" w:rsidRPr="004A52EA" w:rsidRDefault="004A52EA" w:rsidP="004A52EA">
            <w:pPr>
              <w:spacing w:after="0"/>
            </w:pPr>
            <w:r w:rsidRPr="004A52EA">
              <w:rPr>
                <w:b/>
                <w:bCs/>
              </w:rPr>
              <w:t>Validity</w:t>
            </w:r>
          </w:p>
          <w:p w:rsidR="00434AA1" w:rsidRPr="004A52EA" w:rsidRDefault="004A52EA" w:rsidP="004A52EA">
            <w:pPr>
              <w:spacing w:after="0"/>
            </w:pPr>
            <w:r w:rsidRPr="004A52EA">
              <w:rPr>
                <w:b/>
                <w:bCs/>
              </w:rPr>
              <w:t> </w:t>
            </w:r>
          </w:p>
        </w:tc>
        <w:tc>
          <w:tcPr>
            <w:tcW w:w="0" w:type="auto"/>
            <w:tcBorders>
              <w:top w:val="single" w:sz="8" w:space="0" w:color="FFFFFF"/>
              <w:left w:val="single" w:sz="8" w:space="0" w:color="FFFFFF"/>
              <w:bottom w:val="single" w:sz="8" w:space="0" w:color="FFFFFF"/>
              <w:right w:val="single" w:sz="8" w:space="0" w:color="FFFFFF"/>
            </w:tcBorders>
            <w:shd w:val="clear" w:color="auto" w:fill="E8ECF0"/>
            <w:tcMar>
              <w:top w:w="15" w:type="dxa"/>
              <w:left w:w="108" w:type="dxa"/>
              <w:bottom w:w="0" w:type="dxa"/>
              <w:right w:w="108" w:type="dxa"/>
            </w:tcMar>
            <w:hideMark/>
          </w:tcPr>
          <w:p w:rsidR="00434AA1" w:rsidRPr="004A52EA" w:rsidRDefault="004A52EA" w:rsidP="004A52EA">
            <w:pPr>
              <w:spacing w:after="0"/>
            </w:pPr>
            <w:r w:rsidRPr="004A52EA">
              <w:t>+/-</w:t>
            </w:r>
          </w:p>
        </w:tc>
        <w:tc>
          <w:tcPr>
            <w:tcW w:w="0" w:type="auto"/>
            <w:tcBorders>
              <w:top w:val="single" w:sz="8" w:space="0" w:color="FFFFFF"/>
              <w:left w:val="single" w:sz="8" w:space="0" w:color="FFFFFF"/>
              <w:bottom w:val="single" w:sz="8" w:space="0" w:color="FFFFFF"/>
              <w:right w:val="single" w:sz="8" w:space="0" w:color="FFFFFF"/>
            </w:tcBorders>
            <w:shd w:val="clear" w:color="auto" w:fill="E8ECF0"/>
            <w:tcMar>
              <w:top w:w="15" w:type="dxa"/>
              <w:left w:w="108" w:type="dxa"/>
              <w:bottom w:w="0" w:type="dxa"/>
              <w:right w:w="108" w:type="dxa"/>
            </w:tcMar>
            <w:hideMark/>
          </w:tcPr>
          <w:p w:rsidR="00434AA1" w:rsidRPr="004A52EA" w:rsidRDefault="004A52EA" w:rsidP="004A52EA">
            <w:pPr>
              <w:spacing w:after="0"/>
            </w:pPr>
            <w:r w:rsidRPr="004A52EA">
              <w:t>Yes?</w:t>
            </w:r>
          </w:p>
        </w:tc>
      </w:tr>
      <w:tr w:rsidR="004A52EA" w:rsidRPr="004A52EA" w:rsidTr="004A52EA">
        <w:trPr>
          <w:trHeight w:val="990"/>
        </w:trPr>
        <w:tc>
          <w:tcPr>
            <w:tcW w:w="0" w:type="auto"/>
            <w:tcBorders>
              <w:top w:val="single" w:sz="8" w:space="0" w:color="FFFFFF"/>
              <w:left w:val="single" w:sz="8" w:space="0" w:color="FFFFFF"/>
              <w:bottom w:val="single" w:sz="8" w:space="0" w:color="FFFFFF"/>
              <w:right w:val="single" w:sz="8" w:space="0" w:color="FFFFFF"/>
            </w:tcBorders>
            <w:shd w:val="clear" w:color="auto" w:fill="CDD7DF"/>
            <w:tcMar>
              <w:top w:w="15" w:type="dxa"/>
              <w:left w:w="108" w:type="dxa"/>
              <w:bottom w:w="0" w:type="dxa"/>
              <w:right w:w="108" w:type="dxa"/>
            </w:tcMar>
            <w:hideMark/>
          </w:tcPr>
          <w:p w:rsidR="004A52EA" w:rsidRPr="004A52EA" w:rsidRDefault="004A52EA" w:rsidP="004A52EA">
            <w:pPr>
              <w:spacing w:after="0"/>
            </w:pPr>
            <w:r w:rsidRPr="004A52EA">
              <w:rPr>
                <w:b/>
                <w:bCs/>
              </w:rPr>
              <w:t>Results</w:t>
            </w:r>
          </w:p>
          <w:p w:rsidR="00434AA1" w:rsidRPr="004A52EA" w:rsidRDefault="004A52EA" w:rsidP="004A52EA">
            <w:pPr>
              <w:spacing w:after="0"/>
            </w:pPr>
            <w:r w:rsidRPr="004A52EA">
              <w:rPr>
                <w:b/>
                <w:bCs/>
              </w:rPr>
              <w:t> </w:t>
            </w:r>
          </w:p>
        </w:tc>
        <w:tc>
          <w:tcPr>
            <w:tcW w:w="0" w:type="auto"/>
            <w:tcBorders>
              <w:top w:val="single" w:sz="8" w:space="0" w:color="FFFFFF"/>
              <w:left w:val="single" w:sz="8" w:space="0" w:color="FFFFFF"/>
              <w:bottom w:val="single" w:sz="8" w:space="0" w:color="FFFFFF"/>
              <w:right w:val="single" w:sz="8" w:space="0" w:color="FFFFFF"/>
            </w:tcBorders>
            <w:shd w:val="clear" w:color="auto" w:fill="CDD7DF"/>
            <w:tcMar>
              <w:top w:w="15" w:type="dxa"/>
              <w:left w:w="108" w:type="dxa"/>
              <w:bottom w:w="0" w:type="dxa"/>
              <w:right w:w="108" w:type="dxa"/>
            </w:tcMar>
            <w:hideMark/>
          </w:tcPr>
          <w:p w:rsidR="004A52EA" w:rsidRPr="004A52EA" w:rsidRDefault="004A52EA" w:rsidP="004A52EA">
            <w:pPr>
              <w:spacing w:after="0"/>
            </w:pPr>
            <w:r w:rsidRPr="004A52EA">
              <w:t>Good reliability for facial and vocal subclasses, ICC 0.77 and 0.81, overall reliability was ok</w:t>
            </w:r>
          </w:p>
          <w:p w:rsidR="00434AA1" w:rsidRPr="004A52EA" w:rsidRDefault="004A52EA" w:rsidP="004A52EA">
            <w:pPr>
              <w:spacing w:after="0"/>
            </w:pPr>
            <w:r w:rsidRPr="004A52EA">
              <w:t>Validity?</w:t>
            </w:r>
          </w:p>
        </w:tc>
        <w:tc>
          <w:tcPr>
            <w:tcW w:w="0" w:type="auto"/>
            <w:tcBorders>
              <w:top w:val="single" w:sz="8" w:space="0" w:color="FFFFFF"/>
              <w:left w:val="single" w:sz="8" w:space="0" w:color="FFFFFF"/>
              <w:bottom w:val="single" w:sz="8" w:space="0" w:color="FFFFFF"/>
              <w:right w:val="single" w:sz="8" w:space="0" w:color="FFFFFF"/>
            </w:tcBorders>
            <w:shd w:val="clear" w:color="auto" w:fill="CDD7DF"/>
            <w:tcMar>
              <w:top w:w="15" w:type="dxa"/>
              <w:left w:w="108" w:type="dxa"/>
              <w:bottom w:w="0" w:type="dxa"/>
              <w:right w:w="108" w:type="dxa"/>
            </w:tcMar>
            <w:hideMark/>
          </w:tcPr>
          <w:p w:rsidR="004A52EA" w:rsidRPr="004A52EA" w:rsidRDefault="004A52EA" w:rsidP="004A52EA">
            <w:pPr>
              <w:spacing w:after="0"/>
            </w:pPr>
            <w:r w:rsidRPr="004A52EA">
              <w:t xml:space="preserve">Reliability? </w:t>
            </w:r>
          </w:p>
          <w:p w:rsidR="00434AA1" w:rsidRPr="004A52EA" w:rsidRDefault="004A52EA" w:rsidP="004A52EA">
            <w:pPr>
              <w:spacing w:after="0"/>
            </w:pPr>
            <w:r w:rsidRPr="004A52EA">
              <w:t xml:space="preserve">Validity: Good correlation between nurses’ and parents VAS. Good correlation of the FLACC in the face and cry categories, limited in legs and activity. </w:t>
            </w:r>
          </w:p>
        </w:tc>
      </w:tr>
      <w:tr w:rsidR="004A52EA" w:rsidRPr="004A52EA" w:rsidTr="004A52EA">
        <w:trPr>
          <w:trHeight w:val="620"/>
        </w:trPr>
        <w:tc>
          <w:tcPr>
            <w:tcW w:w="0" w:type="auto"/>
            <w:tcBorders>
              <w:top w:val="single" w:sz="8" w:space="0" w:color="FFFFFF"/>
              <w:left w:val="single" w:sz="8" w:space="0" w:color="FFFFFF"/>
              <w:bottom w:val="single" w:sz="8" w:space="0" w:color="FFFFFF"/>
              <w:right w:val="single" w:sz="8" w:space="0" w:color="FFFFFF"/>
            </w:tcBorders>
            <w:shd w:val="clear" w:color="auto" w:fill="E8ECF0"/>
            <w:tcMar>
              <w:top w:w="15" w:type="dxa"/>
              <w:left w:w="108" w:type="dxa"/>
              <w:bottom w:w="0" w:type="dxa"/>
              <w:right w:w="108" w:type="dxa"/>
            </w:tcMar>
            <w:hideMark/>
          </w:tcPr>
          <w:p w:rsidR="004A52EA" w:rsidRPr="004A52EA" w:rsidRDefault="004A52EA" w:rsidP="004A52EA">
            <w:pPr>
              <w:spacing w:after="0"/>
            </w:pPr>
            <w:r w:rsidRPr="004A52EA">
              <w:rPr>
                <w:b/>
                <w:bCs/>
              </w:rPr>
              <w:t>Limitations</w:t>
            </w:r>
          </w:p>
          <w:p w:rsidR="00434AA1" w:rsidRPr="004A52EA" w:rsidRDefault="004A52EA" w:rsidP="004A52EA">
            <w:pPr>
              <w:spacing w:after="0"/>
            </w:pPr>
            <w:r w:rsidRPr="004A52EA">
              <w:rPr>
                <w:b/>
                <w:bCs/>
              </w:rPr>
              <w:t> </w:t>
            </w:r>
          </w:p>
        </w:tc>
        <w:tc>
          <w:tcPr>
            <w:tcW w:w="0" w:type="auto"/>
            <w:tcBorders>
              <w:top w:val="single" w:sz="8" w:space="0" w:color="FFFFFF"/>
              <w:left w:val="single" w:sz="8" w:space="0" w:color="FFFFFF"/>
              <w:bottom w:val="single" w:sz="8" w:space="0" w:color="FFFFFF"/>
              <w:right w:val="single" w:sz="8" w:space="0" w:color="FFFFFF"/>
            </w:tcBorders>
            <w:shd w:val="clear" w:color="auto" w:fill="E8ECF0"/>
            <w:tcMar>
              <w:top w:w="15" w:type="dxa"/>
              <w:left w:w="108" w:type="dxa"/>
              <w:bottom w:w="0" w:type="dxa"/>
              <w:right w:w="108" w:type="dxa"/>
            </w:tcMar>
            <w:hideMark/>
          </w:tcPr>
          <w:p w:rsidR="004A52EA" w:rsidRPr="004A52EA" w:rsidRDefault="004A52EA" w:rsidP="004A52EA">
            <w:pPr>
              <w:spacing w:after="0"/>
            </w:pPr>
            <w:r w:rsidRPr="004A52EA">
              <w:t xml:space="preserve">Small sample size </w:t>
            </w:r>
          </w:p>
          <w:p w:rsidR="004A52EA" w:rsidRPr="004A52EA" w:rsidRDefault="004A52EA" w:rsidP="004A52EA">
            <w:pPr>
              <w:spacing w:after="0"/>
            </w:pPr>
            <w:r w:rsidRPr="004A52EA">
              <w:t>Subjects with severe CI (no variations)</w:t>
            </w:r>
          </w:p>
          <w:p w:rsidR="00434AA1" w:rsidRPr="004A52EA" w:rsidRDefault="004A52EA" w:rsidP="004A52EA">
            <w:pPr>
              <w:spacing w:after="0"/>
            </w:pPr>
            <w:r w:rsidRPr="004A52EA">
              <w:t>Specific pain assessment for acute pain only during post-op period</w:t>
            </w:r>
          </w:p>
        </w:tc>
        <w:tc>
          <w:tcPr>
            <w:tcW w:w="0" w:type="auto"/>
            <w:tcBorders>
              <w:top w:val="single" w:sz="8" w:space="0" w:color="FFFFFF"/>
              <w:left w:val="single" w:sz="8" w:space="0" w:color="FFFFFF"/>
              <w:bottom w:val="single" w:sz="8" w:space="0" w:color="FFFFFF"/>
              <w:right w:val="single" w:sz="8" w:space="0" w:color="FFFFFF"/>
            </w:tcBorders>
            <w:shd w:val="clear" w:color="auto" w:fill="E8ECF0"/>
            <w:tcMar>
              <w:top w:w="15" w:type="dxa"/>
              <w:left w:w="108" w:type="dxa"/>
              <w:bottom w:w="0" w:type="dxa"/>
              <w:right w:w="108" w:type="dxa"/>
            </w:tcMar>
            <w:hideMark/>
          </w:tcPr>
          <w:p w:rsidR="004A52EA" w:rsidRPr="004A52EA" w:rsidRDefault="004A52EA" w:rsidP="004A52EA">
            <w:pPr>
              <w:spacing w:after="0"/>
            </w:pPr>
            <w:r w:rsidRPr="004A52EA">
              <w:t>Study performed to assess acute post-op pain, hence limited in generalizing its use in other settings</w:t>
            </w:r>
          </w:p>
          <w:p w:rsidR="00434AA1" w:rsidRPr="004A52EA" w:rsidRDefault="004A52EA" w:rsidP="004A52EA">
            <w:pPr>
              <w:spacing w:after="0"/>
            </w:pPr>
            <w:r w:rsidRPr="004A52EA">
              <w:t>Knowledge of patient’s physical status influenced FLACC scores (parents vs. bedside nurse vs. observers)</w:t>
            </w:r>
          </w:p>
        </w:tc>
      </w:tr>
    </w:tbl>
    <w:p w:rsidR="004A52EA" w:rsidRDefault="004A52EA" w:rsidP="004A52EA">
      <w:pPr>
        <w:spacing w:after="0"/>
      </w:pPr>
    </w:p>
    <w:tbl>
      <w:tblPr>
        <w:tblW w:w="0" w:type="auto"/>
        <w:tblCellMar>
          <w:left w:w="0" w:type="dxa"/>
          <w:right w:w="0" w:type="dxa"/>
        </w:tblCellMar>
        <w:tblLook w:val="0420" w:firstRow="1" w:lastRow="0" w:firstColumn="0" w:lastColumn="0" w:noHBand="0" w:noVBand="1"/>
      </w:tblPr>
      <w:tblGrid>
        <w:gridCol w:w="1392"/>
        <w:gridCol w:w="4171"/>
        <w:gridCol w:w="4013"/>
      </w:tblGrid>
      <w:tr w:rsidR="004A52EA" w:rsidRPr="004A52EA" w:rsidTr="004A52EA">
        <w:trPr>
          <w:trHeight w:val="428"/>
        </w:trPr>
        <w:tc>
          <w:tcPr>
            <w:tcW w:w="0" w:type="auto"/>
            <w:tcBorders>
              <w:top w:val="single" w:sz="8" w:space="0" w:color="FFFFFF"/>
              <w:left w:val="single" w:sz="8" w:space="0" w:color="FFFFFF"/>
              <w:bottom w:val="single" w:sz="24" w:space="0" w:color="FFFFFF"/>
              <w:right w:val="single" w:sz="8" w:space="0" w:color="FFFFFF"/>
            </w:tcBorders>
            <w:shd w:val="clear" w:color="auto" w:fill="2C7C9F"/>
            <w:tcMar>
              <w:top w:w="15" w:type="dxa"/>
              <w:left w:w="108" w:type="dxa"/>
              <w:bottom w:w="0" w:type="dxa"/>
              <w:right w:w="108" w:type="dxa"/>
            </w:tcMar>
            <w:hideMark/>
          </w:tcPr>
          <w:p w:rsidR="00434AA1" w:rsidRPr="004A52EA" w:rsidRDefault="004A52EA" w:rsidP="004A52EA">
            <w:pPr>
              <w:spacing w:after="0"/>
            </w:pPr>
            <w:r w:rsidRPr="004A52EA">
              <w:rPr>
                <w:b/>
                <w:bCs/>
              </w:rPr>
              <w:t> </w:t>
            </w:r>
          </w:p>
        </w:tc>
        <w:tc>
          <w:tcPr>
            <w:tcW w:w="0" w:type="auto"/>
            <w:tcBorders>
              <w:top w:val="single" w:sz="8" w:space="0" w:color="FFFFFF"/>
              <w:left w:val="single" w:sz="8" w:space="0" w:color="FFFFFF"/>
              <w:bottom w:val="single" w:sz="24" w:space="0" w:color="FFFFFF"/>
              <w:right w:val="single" w:sz="8" w:space="0" w:color="FFFFFF"/>
            </w:tcBorders>
            <w:shd w:val="clear" w:color="auto" w:fill="2C7C9F"/>
            <w:tcMar>
              <w:top w:w="15" w:type="dxa"/>
              <w:left w:w="108" w:type="dxa"/>
              <w:bottom w:w="0" w:type="dxa"/>
              <w:right w:w="108" w:type="dxa"/>
            </w:tcMar>
            <w:hideMark/>
          </w:tcPr>
          <w:p w:rsidR="00434AA1" w:rsidRPr="004A52EA" w:rsidRDefault="004A52EA" w:rsidP="004A52EA">
            <w:pPr>
              <w:spacing w:after="0"/>
            </w:pPr>
            <w:r w:rsidRPr="004A52EA">
              <w:rPr>
                <w:b/>
                <w:bCs/>
              </w:rPr>
              <w:t>Citation #3</w:t>
            </w:r>
          </w:p>
        </w:tc>
        <w:tc>
          <w:tcPr>
            <w:tcW w:w="0" w:type="auto"/>
            <w:tcBorders>
              <w:top w:val="single" w:sz="8" w:space="0" w:color="FFFFFF"/>
              <w:left w:val="single" w:sz="8" w:space="0" w:color="FFFFFF"/>
              <w:bottom w:val="single" w:sz="24" w:space="0" w:color="FFFFFF"/>
              <w:right w:val="single" w:sz="8" w:space="0" w:color="FFFFFF"/>
            </w:tcBorders>
            <w:shd w:val="clear" w:color="auto" w:fill="2C7C9F"/>
            <w:tcMar>
              <w:top w:w="15" w:type="dxa"/>
              <w:left w:w="108" w:type="dxa"/>
              <w:bottom w:w="0" w:type="dxa"/>
              <w:right w:w="108" w:type="dxa"/>
            </w:tcMar>
            <w:hideMark/>
          </w:tcPr>
          <w:p w:rsidR="00434AA1" w:rsidRPr="004A52EA" w:rsidRDefault="004A52EA" w:rsidP="004A52EA">
            <w:pPr>
              <w:spacing w:after="0"/>
            </w:pPr>
            <w:r w:rsidRPr="004A52EA">
              <w:rPr>
                <w:b/>
                <w:bCs/>
              </w:rPr>
              <w:t>Citation #4</w:t>
            </w:r>
          </w:p>
        </w:tc>
      </w:tr>
      <w:tr w:rsidR="004A52EA" w:rsidRPr="004A52EA" w:rsidTr="004A52EA">
        <w:trPr>
          <w:trHeight w:val="1588"/>
        </w:trPr>
        <w:tc>
          <w:tcPr>
            <w:tcW w:w="0" w:type="auto"/>
            <w:tcBorders>
              <w:top w:val="single" w:sz="24" w:space="0" w:color="FFFFFF"/>
              <w:left w:val="single" w:sz="8" w:space="0" w:color="FFFFFF"/>
              <w:bottom w:val="single" w:sz="8" w:space="0" w:color="FFFFFF"/>
              <w:right w:val="single" w:sz="8" w:space="0" w:color="FFFFFF"/>
            </w:tcBorders>
            <w:shd w:val="clear" w:color="auto" w:fill="CDD7DF"/>
            <w:tcMar>
              <w:top w:w="15" w:type="dxa"/>
              <w:left w:w="108" w:type="dxa"/>
              <w:bottom w:w="0" w:type="dxa"/>
              <w:right w:w="108" w:type="dxa"/>
            </w:tcMar>
            <w:hideMark/>
          </w:tcPr>
          <w:p w:rsidR="00434AA1" w:rsidRPr="004A52EA" w:rsidRDefault="004A52EA" w:rsidP="004A52EA">
            <w:pPr>
              <w:spacing w:after="0"/>
            </w:pPr>
            <w:r w:rsidRPr="004A52EA">
              <w:rPr>
                <w:b/>
                <w:bCs/>
              </w:rPr>
              <w:t>Reference</w:t>
            </w:r>
          </w:p>
        </w:tc>
        <w:tc>
          <w:tcPr>
            <w:tcW w:w="0" w:type="auto"/>
            <w:tcBorders>
              <w:top w:val="single" w:sz="24" w:space="0" w:color="FFFFFF"/>
              <w:left w:val="single" w:sz="8" w:space="0" w:color="FFFFFF"/>
              <w:bottom w:val="single" w:sz="8" w:space="0" w:color="FFFFFF"/>
              <w:right w:val="single" w:sz="8" w:space="0" w:color="FFFFFF"/>
            </w:tcBorders>
            <w:shd w:val="clear" w:color="auto" w:fill="CDD7DF"/>
            <w:tcMar>
              <w:top w:w="15" w:type="dxa"/>
              <w:left w:w="108" w:type="dxa"/>
              <w:bottom w:w="0" w:type="dxa"/>
              <w:right w:w="108" w:type="dxa"/>
            </w:tcMar>
            <w:hideMark/>
          </w:tcPr>
          <w:p w:rsidR="00434AA1" w:rsidRPr="004A52EA" w:rsidRDefault="004A52EA" w:rsidP="004A52EA">
            <w:pPr>
              <w:spacing w:after="0"/>
            </w:pPr>
            <w:proofErr w:type="spellStart"/>
            <w:r w:rsidRPr="004A52EA">
              <w:t>Malviya</w:t>
            </w:r>
            <w:proofErr w:type="spellEnd"/>
            <w:r w:rsidRPr="004A52EA">
              <w:t xml:space="preserve">, S., et al., </w:t>
            </w:r>
            <w:r w:rsidRPr="004A52EA">
              <w:rPr>
                <w:i/>
                <w:iCs/>
              </w:rPr>
              <w:t xml:space="preserve">The revised FLACC observational pain tool: improved reliability and validity for pain assessment in children with cognitive impairment. </w:t>
            </w:r>
            <w:proofErr w:type="spellStart"/>
            <w:r w:rsidRPr="004A52EA">
              <w:rPr>
                <w:i/>
                <w:iCs/>
              </w:rPr>
              <w:t>Paediatr</w:t>
            </w:r>
            <w:proofErr w:type="spellEnd"/>
            <w:r w:rsidRPr="004A52EA">
              <w:rPr>
                <w:i/>
                <w:iCs/>
              </w:rPr>
              <w:t xml:space="preserve"> </w:t>
            </w:r>
            <w:proofErr w:type="spellStart"/>
            <w:r w:rsidRPr="004A52EA">
              <w:rPr>
                <w:i/>
                <w:iCs/>
              </w:rPr>
              <w:t>Anaesth</w:t>
            </w:r>
            <w:proofErr w:type="spellEnd"/>
            <w:r w:rsidRPr="004A52EA">
              <w:rPr>
                <w:i/>
                <w:iCs/>
              </w:rPr>
              <w:t xml:space="preserve">, 2006. </w:t>
            </w:r>
            <w:r w:rsidRPr="004A52EA">
              <w:rPr>
                <w:b/>
                <w:bCs/>
                <w:i/>
                <w:iCs/>
              </w:rPr>
              <w:t>16(3): p. 258-65.</w:t>
            </w:r>
          </w:p>
        </w:tc>
        <w:tc>
          <w:tcPr>
            <w:tcW w:w="0" w:type="auto"/>
            <w:tcBorders>
              <w:top w:val="single" w:sz="24" w:space="0" w:color="FFFFFF"/>
              <w:left w:val="single" w:sz="8" w:space="0" w:color="FFFFFF"/>
              <w:bottom w:val="single" w:sz="8" w:space="0" w:color="FFFFFF"/>
              <w:right w:val="single" w:sz="8" w:space="0" w:color="FFFFFF"/>
            </w:tcBorders>
            <w:shd w:val="clear" w:color="auto" w:fill="CDD7DF"/>
            <w:tcMar>
              <w:top w:w="15" w:type="dxa"/>
              <w:left w:w="108" w:type="dxa"/>
              <w:bottom w:w="0" w:type="dxa"/>
              <w:right w:w="108" w:type="dxa"/>
            </w:tcMar>
            <w:hideMark/>
          </w:tcPr>
          <w:p w:rsidR="00434AA1" w:rsidRPr="004A52EA" w:rsidRDefault="004A52EA" w:rsidP="004A52EA">
            <w:pPr>
              <w:spacing w:after="0"/>
            </w:pPr>
            <w:r w:rsidRPr="004A52EA">
              <w:t> </w:t>
            </w:r>
            <w:proofErr w:type="spellStart"/>
            <w:r w:rsidRPr="004A52EA">
              <w:t>Solodiuk</w:t>
            </w:r>
            <w:proofErr w:type="spellEnd"/>
            <w:r w:rsidRPr="004A52EA">
              <w:t xml:space="preserve">, J.C., et al., </w:t>
            </w:r>
            <w:r w:rsidRPr="004A52EA">
              <w:rPr>
                <w:i/>
                <w:iCs/>
              </w:rPr>
              <w:t xml:space="preserve">Validation of the Individualized Numeric Rating Scale (INRS): a pain assessment tool for nonverbal children with intellectual disability. Pain, 2010. </w:t>
            </w:r>
            <w:r w:rsidRPr="004A52EA">
              <w:rPr>
                <w:b/>
                <w:bCs/>
                <w:i/>
                <w:iCs/>
              </w:rPr>
              <w:t>150(2): p. 231-6.</w:t>
            </w:r>
          </w:p>
        </w:tc>
      </w:tr>
      <w:tr w:rsidR="004A52EA" w:rsidRPr="004A52EA" w:rsidTr="004A52EA">
        <w:trPr>
          <w:trHeight w:val="1020"/>
        </w:trPr>
        <w:tc>
          <w:tcPr>
            <w:tcW w:w="0" w:type="auto"/>
            <w:tcBorders>
              <w:top w:val="single" w:sz="8" w:space="0" w:color="FFFFFF"/>
              <w:left w:val="single" w:sz="8" w:space="0" w:color="FFFFFF"/>
              <w:bottom w:val="single" w:sz="8" w:space="0" w:color="FFFFFF"/>
              <w:right w:val="single" w:sz="8" w:space="0" w:color="FFFFFF"/>
            </w:tcBorders>
            <w:shd w:val="clear" w:color="auto" w:fill="E8ECF0"/>
            <w:tcMar>
              <w:top w:w="15" w:type="dxa"/>
              <w:left w:w="108" w:type="dxa"/>
              <w:bottom w:w="0" w:type="dxa"/>
              <w:right w:w="108" w:type="dxa"/>
            </w:tcMar>
            <w:hideMark/>
          </w:tcPr>
          <w:p w:rsidR="004A52EA" w:rsidRPr="004A52EA" w:rsidRDefault="004A52EA" w:rsidP="004A52EA">
            <w:pPr>
              <w:spacing w:after="0"/>
            </w:pPr>
            <w:r w:rsidRPr="004A52EA">
              <w:rPr>
                <w:b/>
                <w:bCs/>
              </w:rPr>
              <w:t>Study Question</w:t>
            </w:r>
          </w:p>
          <w:p w:rsidR="00434AA1" w:rsidRPr="004A52EA" w:rsidRDefault="004A52EA" w:rsidP="004A52EA">
            <w:pPr>
              <w:spacing w:after="0"/>
            </w:pPr>
            <w:r w:rsidRPr="004A52EA">
              <w:rPr>
                <w:b/>
                <w:bCs/>
              </w:rPr>
              <w:t> </w:t>
            </w:r>
          </w:p>
        </w:tc>
        <w:tc>
          <w:tcPr>
            <w:tcW w:w="0" w:type="auto"/>
            <w:tcBorders>
              <w:top w:val="single" w:sz="8" w:space="0" w:color="FFFFFF"/>
              <w:left w:val="single" w:sz="8" w:space="0" w:color="FFFFFF"/>
              <w:bottom w:val="single" w:sz="8" w:space="0" w:color="FFFFFF"/>
              <w:right w:val="single" w:sz="8" w:space="0" w:color="FFFFFF"/>
            </w:tcBorders>
            <w:shd w:val="clear" w:color="auto" w:fill="E8ECF0"/>
            <w:tcMar>
              <w:top w:w="15" w:type="dxa"/>
              <w:left w:w="108" w:type="dxa"/>
              <w:bottom w:w="0" w:type="dxa"/>
              <w:right w:w="108" w:type="dxa"/>
            </w:tcMar>
            <w:hideMark/>
          </w:tcPr>
          <w:p w:rsidR="00434AA1" w:rsidRPr="004A52EA" w:rsidRDefault="004A52EA" w:rsidP="004A52EA">
            <w:pPr>
              <w:spacing w:after="0"/>
            </w:pPr>
            <w:r w:rsidRPr="004A52EA">
              <w:t>Use of the revised FLACC pain assessment tool (including behaviors specific to those with CI) in the assessment of pain in this population</w:t>
            </w:r>
          </w:p>
        </w:tc>
        <w:tc>
          <w:tcPr>
            <w:tcW w:w="0" w:type="auto"/>
            <w:tcBorders>
              <w:top w:val="single" w:sz="8" w:space="0" w:color="FFFFFF"/>
              <w:left w:val="single" w:sz="8" w:space="0" w:color="FFFFFF"/>
              <w:bottom w:val="single" w:sz="8" w:space="0" w:color="FFFFFF"/>
              <w:right w:val="single" w:sz="8" w:space="0" w:color="FFFFFF"/>
            </w:tcBorders>
            <w:shd w:val="clear" w:color="auto" w:fill="E8ECF0"/>
            <w:tcMar>
              <w:top w:w="15" w:type="dxa"/>
              <w:left w:w="108" w:type="dxa"/>
              <w:bottom w:w="0" w:type="dxa"/>
              <w:right w:w="108" w:type="dxa"/>
            </w:tcMar>
            <w:hideMark/>
          </w:tcPr>
          <w:p w:rsidR="00434AA1" w:rsidRPr="004A52EA" w:rsidRDefault="004A52EA" w:rsidP="004A52EA">
            <w:pPr>
              <w:spacing w:after="0"/>
            </w:pPr>
            <w:r w:rsidRPr="004A52EA">
              <w:t>Is it feasible to create a usable parent-guided INRS for nonverbal children with intellectual disability</w:t>
            </w:r>
          </w:p>
        </w:tc>
      </w:tr>
      <w:tr w:rsidR="004A52EA" w:rsidRPr="004A52EA" w:rsidTr="004A52EA">
        <w:trPr>
          <w:trHeight w:val="936"/>
        </w:trPr>
        <w:tc>
          <w:tcPr>
            <w:tcW w:w="0" w:type="auto"/>
            <w:tcBorders>
              <w:top w:val="single" w:sz="8" w:space="0" w:color="FFFFFF"/>
              <w:left w:val="single" w:sz="8" w:space="0" w:color="FFFFFF"/>
              <w:bottom w:val="single" w:sz="8" w:space="0" w:color="FFFFFF"/>
              <w:right w:val="single" w:sz="8" w:space="0" w:color="FFFFFF"/>
            </w:tcBorders>
            <w:shd w:val="clear" w:color="auto" w:fill="CDD7DF"/>
            <w:tcMar>
              <w:top w:w="15" w:type="dxa"/>
              <w:left w:w="108" w:type="dxa"/>
              <w:bottom w:w="0" w:type="dxa"/>
              <w:right w:w="108" w:type="dxa"/>
            </w:tcMar>
            <w:hideMark/>
          </w:tcPr>
          <w:p w:rsidR="004A52EA" w:rsidRPr="004A52EA" w:rsidRDefault="004A52EA" w:rsidP="004A52EA">
            <w:pPr>
              <w:spacing w:after="0"/>
            </w:pPr>
            <w:r w:rsidRPr="004A52EA">
              <w:rPr>
                <w:b/>
                <w:bCs/>
              </w:rPr>
              <w:t>Study Design</w:t>
            </w:r>
          </w:p>
          <w:p w:rsidR="00434AA1" w:rsidRPr="004A52EA" w:rsidRDefault="004A52EA" w:rsidP="004A52EA">
            <w:pPr>
              <w:spacing w:after="0"/>
            </w:pPr>
            <w:r w:rsidRPr="004A52EA">
              <w:rPr>
                <w:b/>
                <w:bCs/>
              </w:rPr>
              <w:t> </w:t>
            </w:r>
          </w:p>
        </w:tc>
        <w:tc>
          <w:tcPr>
            <w:tcW w:w="0" w:type="auto"/>
            <w:tcBorders>
              <w:top w:val="single" w:sz="8" w:space="0" w:color="FFFFFF"/>
              <w:left w:val="single" w:sz="8" w:space="0" w:color="FFFFFF"/>
              <w:bottom w:val="single" w:sz="8" w:space="0" w:color="FFFFFF"/>
              <w:right w:val="single" w:sz="8" w:space="0" w:color="FFFFFF"/>
            </w:tcBorders>
            <w:shd w:val="clear" w:color="auto" w:fill="CDD7DF"/>
            <w:tcMar>
              <w:top w:w="15" w:type="dxa"/>
              <w:left w:w="108" w:type="dxa"/>
              <w:bottom w:w="0" w:type="dxa"/>
              <w:right w:w="108" w:type="dxa"/>
            </w:tcMar>
            <w:hideMark/>
          </w:tcPr>
          <w:p w:rsidR="00434AA1" w:rsidRPr="004A52EA" w:rsidRDefault="004A52EA" w:rsidP="004A52EA">
            <w:pPr>
              <w:spacing w:after="0"/>
            </w:pPr>
            <w:r w:rsidRPr="004A52EA">
              <w:t>Randomized, investigator blinded prospective cohort study</w:t>
            </w:r>
          </w:p>
        </w:tc>
        <w:tc>
          <w:tcPr>
            <w:tcW w:w="0" w:type="auto"/>
            <w:tcBorders>
              <w:top w:val="single" w:sz="8" w:space="0" w:color="FFFFFF"/>
              <w:left w:val="single" w:sz="8" w:space="0" w:color="FFFFFF"/>
              <w:bottom w:val="single" w:sz="8" w:space="0" w:color="FFFFFF"/>
              <w:right w:val="single" w:sz="8" w:space="0" w:color="FFFFFF"/>
            </w:tcBorders>
            <w:shd w:val="clear" w:color="auto" w:fill="CDD7DF"/>
            <w:tcMar>
              <w:top w:w="15" w:type="dxa"/>
              <w:left w:w="108" w:type="dxa"/>
              <w:bottom w:w="0" w:type="dxa"/>
              <w:right w:w="108" w:type="dxa"/>
            </w:tcMar>
            <w:hideMark/>
          </w:tcPr>
          <w:p w:rsidR="00434AA1" w:rsidRPr="004A52EA" w:rsidRDefault="004A52EA" w:rsidP="004A52EA">
            <w:pPr>
              <w:spacing w:after="0"/>
            </w:pPr>
            <w:r w:rsidRPr="004A52EA">
              <w:t>Randomized, prospective cohort study</w:t>
            </w:r>
          </w:p>
        </w:tc>
      </w:tr>
      <w:tr w:rsidR="004A52EA" w:rsidRPr="004A52EA" w:rsidTr="004A52EA">
        <w:trPr>
          <w:trHeight w:val="936"/>
        </w:trPr>
        <w:tc>
          <w:tcPr>
            <w:tcW w:w="0" w:type="auto"/>
            <w:tcBorders>
              <w:top w:val="single" w:sz="8" w:space="0" w:color="FFFFFF"/>
              <w:left w:val="single" w:sz="8" w:space="0" w:color="FFFFFF"/>
              <w:bottom w:val="single" w:sz="8" w:space="0" w:color="FFFFFF"/>
              <w:right w:val="single" w:sz="8" w:space="0" w:color="FFFFFF"/>
            </w:tcBorders>
            <w:shd w:val="clear" w:color="auto" w:fill="E8ECF0"/>
            <w:tcMar>
              <w:top w:w="15" w:type="dxa"/>
              <w:left w:w="108" w:type="dxa"/>
              <w:bottom w:w="0" w:type="dxa"/>
              <w:right w:w="108" w:type="dxa"/>
            </w:tcMar>
            <w:hideMark/>
          </w:tcPr>
          <w:p w:rsidR="004A52EA" w:rsidRPr="004A52EA" w:rsidRDefault="004A52EA" w:rsidP="004A52EA">
            <w:pPr>
              <w:spacing w:after="0"/>
            </w:pPr>
            <w:r w:rsidRPr="004A52EA">
              <w:rPr>
                <w:b/>
                <w:bCs/>
              </w:rPr>
              <w:t>Validity</w:t>
            </w:r>
          </w:p>
          <w:p w:rsidR="00434AA1" w:rsidRPr="004A52EA" w:rsidRDefault="004A52EA" w:rsidP="004A52EA">
            <w:pPr>
              <w:spacing w:after="0"/>
            </w:pPr>
            <w:r w:rsidRPr="004A52EA">
              <w:rPr>
                <w:b/>
                <w:bCs/>
              </w:rPr>
              <w:t> </w:t>
            </w:r>
          </w:p>
        </w:tc>
        <w:tc>
          <w:tcPr>
            <w:tcW w:w="0" w:type="auto"/>
            <w:tcBorders>
              <w:top w:val="single" w:sz="8" w:space="0" w:color="FFFFFF"/>
              <w:left w:val="single" w:sz="8" w:space="0" w:color="FFFFFF"/>
              <w:bottom w:val="single" w:sz="8" w:space="0" w:color="FFFFFF"/>
              <w:right w:val="single" w:sz="8" w:space="0" w:color="FFFFFF"/>
            </w:tcBorders>
            <w:shd w:val="clear" w:color="auto" w:fill="E8ECF0"/>
            <w:tcMar>
              <w:top w:w="15" w:type="dxa"/>
              <w:left w:w="108" w:type="dxa"/>
              <w:bottom w:w="0" w:type="dxa"/>
              <w:right w:w="108" w:type="dxa"/>
            </w:tcMar>
            <w:hideMark/>
          </w:tcPr>
          <w:p w:rsidR="00434AA1" w:rsidRPr="004A52EA" w:rsidRDefault="004A52EA" w:rsidP="004A52EA">
            <w:pPr>
              <w:spacing w:after="0"/>
            </w:pPr>
            <w:r w:rsidRPr="004A52EA">
              <w:t>Yes</w:t>
            </w:r>
          </w:p>
        </w:tc>
        <w:tc>
          <w:tcPr>
            <w:tcW w:w="0" w:type="auto"/>
            <w:tcBorders>
              <w:top w:val="single" w:sz="8" w:space="0" w:color="FFFFFF"/>
              <w:left w:val="single" w:sz="8" w:space="0" w:color="FFFFFF"/>
              <w:bottom w:val="single" w:sz="8" w:space="0" w:color="FFFFFF"/>
              <w:right w:val="single" w:sz="8" w:space="0" w:color="FFFFFF"/>
            </w:tcBorders>
            <w:shd w:val="clear" w:color="auto" w:fill="E8ECF0"/>
            <w:tcMar>
              <w:top w:w="15" w:type="dxa"/>
              <w:left w:w="108" w:type="dxa"/>
              <w:bottom w:w="0" w:type="dxa"/>
              <w:right w:w="108" w:type="dxa"/>
            </w:tcMar>
            <w:hideMark/>
          </w:tcPr>
          <w:p w:rsidR="00434AA1" w:rsidRPr="004A52EA" w:rsidRDefault="004A52EA" w:rsidP="004A52EA">
            <w:pPr>
              <w:spacing w:after="0"/>
            </w:pPr>
            <w:r w:rsidRPr="004A52EA">
              <w:t>Yes</w:t>
            </w:r>
          </w:p>
        </w:tc>
      </w:tr>
      <w:tr w:rsidR="004A52EA" w:rsidRPr="004A52EA" w:rsidTr="004A52EA">
        <w:trPr>
          <w:trHeight w:val="1020"/>
        </w:trPr>
        <w:tc>
          <w:tcPr>
            <w:tcW w:w="0" w:type="auto"/>
            <w:tcBorders>
              <w:top w:val="single" w:sz="8" w:space="0" w:color="FFFFFF"/>
              <w:left w:val="single" w:sz="8" w:space="0" w:color="FFFFFF"/>
              <w:bottom w:val="single" w:sz="8" w:space="0" w:color="FFFFFF"/>
              <w:right w:val="single" w:sz="8" w:space="0" w:color="FFFFFF"/>
            </w:tcBorders>
            <w:shd w:val="clear" w:color="auto" w:fill="CDD7DF"/>
            <w:tcMar>
              <w:top w:w="15" w:type="dxa"/>
              <w:left w:w="108" w:type="dxa"/>
              <w:bottom w:w="0" w:type="dxa"/>
              <w:right w:w="108" w:type="dxa"/>
            </w:tcMar>
            <w:hideMark/>
          </w:tcPr>
          <w:p w:rsidR="004A52EA" w:rsidRPr="004A52EA" w:rsidRDefault="004A52EA" w:rsidP="004A52EA">
            <w:pPr>
              <w:spacing w:after="0"/>
            </w:pPr>
            <w:r w:rsidRPr="004A52EA">
              <w:rPr>
                <w:b/>
                <w:bCs/>
              </w:rPr>
              <w:t>Results</w:t>
            </w:r>
          </w:p>
          <w:p w:rsidR="00434AA1" w:rsidRPr="004A52EA" w:rsidRDefault="004A52EA" w:rsidP="004A52EA">
            <w:pPr>
              <w:spacing w:after="0"/>
            </w:pPr>
            <w:r w:rsidRPr="004A52EA">
              <w:rPr>
                <w:b/>
                <w:bCs/>
              </w:rPr>
              <w:t> </w:t>
            </w:r>
          </w:p>
        </w:tc>
        <w:tc>
          <w:tcPr>
            <w:tcW w:w="0" w:type="auto"/>
            <w:tcBorders>
              <w:top w:val="single" w:sz="8" w:space="0" w:color="FFFFFF"/>
              <w:left w:val="single" w:sz="8" w:space="0" w:color="FFFFFF"/>
              <w:bottom w:val="single" w:sz="8" w:space="0" w:color="FFFFFF"/>
              <w:right w:val="single" w:sz="8" w:space="0" w:color="FFFFFF"/>
            </w:tcBorders>
            <w:shd w:val="clear" w:color="auto" w:fill="CDD7DF"/>
            <w:tcMar>
              <w:top w:w="15" w:type="dxa"/>
              <w:left w:w="108" w:type="dxa"/>
              <w:bottom w:w="0" w:type="dxa"/>
              <w:right w:w="108" w:type="dxa"/>
            </w:tcMar>
            <w:hideMark/>
          </w:tcPr>
          <w:p w:rsidR="00434AA1" w:rsidRPr="004A52EA" w:rsidRDefault="004A52EA" w:rsidP="004A52EA">
            <w:pPr>
              <w:spacing w:after="0"/>
            </w:pPr>
            <w:proofErr w:type="gramStart"/>
            <w:r w:rsidRPr="004A52EA">
              <w:t>High  reliability</w:t>
            </w:r>
            <w:proofErr w:type="gramEnd"/>
            <w:r w:rsidRPr="004A52EA">
              <w:t xml:space="preserve">: ICC 0.75 – 0.87, with total score 0.9 and Validity with strong correlations (&gt; 0.65). </w:t>
            </w:r>
          </w:p>
        </w:tc>
        <w:tc>
          <w:tcPr>
            <w:tcW w:w="0" w:type="auto"/>
            <w:tcBorders>
              <w:top w:val="single" w:sz="8" w:space="0" w:color="FFFFFF"/>
              <w:left w:val="single" w:sz="8" w:space="0" w:color="FFFFFF"/>
              <w:bottom w:val="single" w:sz="8" w:space="0" w:color="FFFFFF"/>
              <w:right w:val="single" w:sz="8" w:space="0" w:color="FFFFFF"/>
            </w:tcBorders>
            <w:shd w:val="clear" w:color="auto" w:fill="CDD7DF"/>
            <w:tcMar>
              <w:top w:w="15" w:type="dxa"/>
              <w:left w:w="108" w:type="dxa"/>
              <w:bottom w:w="0" w:type="dxa"/>
              <w:right w:w="108" w:type="dxa"/>
            </w:tcMar>
            <w:hideMark/>
          </w:tcPr>
          <w:p w:rsidR="00434AA1" w:rsidRPr="004A52EA" w:rsidRDefault="004A52EA" w:rsidP="004A52EA">
            <w:pPr>
              <w:spacing w:after="0"/>
            </w:pPr>
            <w:r w:rsidRPr="004A52EA">
              <w:t>High reliability: ICC 0.82 – 0.87 and Validity: r&gt;0.6 for usefulness as pain-assessment tool.</w:t>
            </w:r>
          </w:p>
        </w:tc>
      </w:tr>
      <w:tr w:rsidR="004A52EA" w:rsidRPr="004A52EA" w:rsidTr="004A52EA">
        <w:trPr>
          <w:trHeight w:val="595"/>
        </w:trPr>
        <w:tc>
          <w:tcPr>
            <w:tcW w:w="0" w:type="auto"/>
            <w:tcBorders>
              <w:top w:val="single" w:sz="8" w:space="0" w:color="FFFFFF"/>
              <w:left w:val="single" w:sz="8" w:space="0" w:color="FFFFFF"/>
              <w:bottom w:val="single" w:sz="8" w:space="0" w:color="FFFFFF"/>
              <w:right w:val="single" w:sz="8" w:space="0" w:color="FFFFFF"/>
            </w:tcBorders>
            <w:shd w:val="clear" w:color="auto" w:fill="E8ECF0"/>
            <w:tcMar>
              <w:top w:w="15" w:type="dxa"/>
              <w:left w:w="108" w:type="dxa"/>
              <w:bottom w:w="0" w:type="dxa"/>
              <w:right w:w="108" w:type="dxa"/>
            </w:tcMar>
            <w:hideMark/>
          </w:tcPr>
          <w:p w:rsidR="004A52EA" w:rsidRPr="004A52EA" w:rsidRDefault="004A52EA" w:rsidP="004A52EA">
            <w:pPr>
              <w:spacing w:after="0"/>
            </w:pPr>
            <w:r w:rsidRPr="004A52EA">
              <w:rPr>
                <w:b/>
                <w:bCs/>
              </w:rPr>
              <w:t>Limitations</w:t>
            </w:r>
          </w:p>
          <w:p w:rsidR="00434AA1" w:rsidRPr="004A52EA" w:rsidRDefault="004A52EA" w:rsidP="004A52EA">
            <w:pPr>
              <w:spacing w:after="0"/>
            </w:pPr>
            <w:r w:rsidRPr="004A52EA">
              <w:rPr>
                <w:b/>
                <w:bCs/>
              </w:rPr>
              <w:t> </w:t>
            </w:r>
          </w:p>
        </w:tc>
        <w:tc>
          <w:tcPr>
            <w:tcW w:w="0" w:type="auto"/>
            <w:tcBorders>
              <w:top w:val="single" w:sz="8" w:space="0" w:color="FFFFFF"/>
              <w:left w:val="single" w:sz="8" w:space="0" w:color="FFFFFF"/>
              <w:bottom w:val="single" w:sz="8" w:space="0" w:color="FFFFFF"/>
              <w:right w:val="single" w:sz="8" w:space="0" w:color="FFFFFF"/>
            </w:tcBorders>
            <w:shd w:val="clear" w:color="auto" w:fill="E8ECF0"/>
            <w:tcMar>
              <w:top w:w="15" w:type="dxa"/>
              <w:left w:w="108" w:type="dxa"/>
              <w:bottom w:w="0" w:type="dxa"/>
              <w:right w:w="108" w:type="dxa"/>
            </w:tcMar>
            <w:hideMark/>
          </w:tcPr>
          <w:p w:rsidR="004A52EA" w:rsidRPr="004A52EA" w:rsidRDefault="004A52EA" w:rsidP="004A52EA">
            <w:pPr>
              <w:spacing w:after="0"/>
            </w:pPr>
            <w:r w:rsidRPr="004A52EA">
              <w:t>Used to assess acute post-op pain</w:t>
            </w:r>
          </w:p>
          <w:p w:rsidR="00434AA1" w:rsidRPr="004A52EA" w:rsidRDefault="004A52EA" w:rsidP="004A52EA">
            <w:pPr>
              <w:spacing w:after="0"/>
            </w:pPr>
            <w:r w:rsidRPr="004A52EA">
              <w:t>Unique/ individualized pain behaviors will need to be known by nurses and not all can be accounted for in the scale</w:t>
            </w:r>
          </w:p>
        </w:tc>
        <w:tc>
          <w:tcPr>
            <w:tcW w:w="0" w:type="auto"/>
            <w:tcBorders>
              <w:top w:val="single" w:sz="8" w:space="0" w:color="FFFFFF"/>
              <w:left w:val="single" w:sz="8" w:space="0" w:color="FFFFFF"/>
              <w:bottom w:val="single" w:sz="8" w:space="0" w:color="FFFFFF"/>
              <w:right w:val="single" w:sz="8" w:space="0" w:color="FFFFFF"/>
            </w:tcBorders>
            <w:shd w:val="clear" w:color="auto" w:fill="E8ECF0"/>
            <w:tcMar>
              <w:top w:w="15" w:type="dxa"/>
              <w:left w:w="108" w:type="dxa"/>
              <w:bottom w:w="0" w:type="dxa"/>
              <w:right w:w="108" w:type="dxa"/>
            </w:tcMar>
            <w:hideMark/>
          </w:tcPr>
          <w:p w:rsidR="004A52EA" w:rsidRPr="004A52EA" w:rsidRDefault="004A52EA" w:rsidP="004A52EA">
            <w:pPr>
              <w:spacing w:after="0"/>
            </w:pPr>
            <w:r w:rsidRPr="004A52EA">
              <w:t>Small sample size</w:t>
            </w:r>
          </w:p>
          <w:p w:rsidR="004A52EA" w:rsidRPr="004A52EA" w:rsidRDefault="004A52EA" w:rsidP="004A52EA">
            <w:pPr>
              <w:spacing w:after="0"/>
            </w:pPr>
            <w:r w:rsidRPr="004A52EA">
              <w:t>Subjects with severe CI (no variations)</w:t>
            </w:r>
          </w:p>
          <w:p w:rsidR="00434AA1" w:rsidRPr="004A52EA" w:rsidRDefault="004A52EA" w:rsidP="004A52EA">
            <w:pPr>
              <w:spacing w:after="0"/>
            </w:pPr>
            <w:r w:rsidRPr="004A52EA">
              <w:t>Specific pain assessment for acute pain only during post-op period</w:t>
            </w:r>
          </w:p>
        </w:tc>
      </w:tr>
      <w:tr w:rsidR="004A52EA" w:rsidRPr="004A52EA" w:rsidTr="004A52EA">
        <w:trPr>
          <w:trHeight w:val="765"/>
        </w:trPr>
        <w:tc>
          <w:tcPr>
            <w:tcW w:w="0" w:type="auto"/>
            <w:tcBorders>
              <w:top w:val="single" w:sz="8" w:space="0" w:color="FFFFFF"/>
              <w:left w:val="single" w:sz="8" w:space="0" w:color="FFFFFF"/>
              <w:bottom w:val="single" w:sz="8" w:space="0" w:color="FFFFFF"/>
              <w:right w:val="single" w:sz="8" w:space="0" w:color="FFFFFF"/>
            </w:tcBorders>
            <w:shd w:val="clear" w:color="auto" w:fill="CDD7DF"/>
            <w:tcMar>
              <w:top w:w="15" w:type="dxa"/>
              <w:left w:w="108" w:type="dxa"/>
              <w:bottom w:w="0" w:type="dxa"/>
              <w:right w:w="108" w:type="dxa"/>
            </w:tcMar>
            <w:hideMark/>
          </w:tcPr>
          <w:p w:rsidR="004A52EA" w:rsidRPr="004A52EA" w:rsidRDefault="004A52EA" w:rsidP="004A52EA">
            <w:pPr>
              <w:spacing w:after="0"/>
            </w:pPr>
            <w:r w:rsidRPr="004A52EA">
              <w:rPr>
                <w:b/>
                <w:bCs/>
              </w:rPr>
              <w:lastRenderedPageBreak/>
              <w:t>Application</w:t>
            </w:r>
          </w:p>
          <w:p w:rsidR="00434AA1" w:rsidRPr="004A52EA" w:rsidRDefault="004A52EA" w:rsidP="004A52EA">
            <w:pPr>
              <w:spacing w:after="0"/>
            </w:pPr>
            <w:r w:rsidRPr="004A52EA">
              <w:rPr>
                <w:b/>
                <w:bCs/>
              </w:rPr>
              <w:t> </w:t>
            </w:r>
          </w:p>
        </w:tc>
        <w:tc>
          <w:tcPr>
            <w:tcW w:w="0" w:type="auto"/>
            <w:tcBorders>
              <w:top w:val="single" w:sz="8" w:space="0" w:color="FFFFFF"/>
              <w:left w:val="single" w:sz="8" w:space="0" w:color="FFFFFF"/>
              <w:bottom w:val="single" w:sz="8" w:space="0" w:color="FFFFFF"/>
              <w:right w:val="single" w:sz="8" w:space="0" w:color="FFFFFF"/>
            </w:tcBorders>
            <w:shd w:val="clear" w:color="auto" w:fill="CDD7DF"/>
            <w:tcMar>
              <w:top w:w="15" w:type="dxa"/>
              <w:left w:w="108" w:type="dxa"/>
              <w:bottom w:w="0" w:type="dxa"/>
              <w:right w:w="108" w:type="dxa"/>
            </w:tcMar>
            <w:hideMark/>
          </w:tcPr>
          <w:p w:rsidR="00434AA1" w:rsidRPr="004A52EA" w:rsidRDefault="004A52EA" w:rsidP="004A52EA">
            <w:pPr>
              <w:spacing w:after="0"/>
            </w:pPr>
            <w:r w:rsidRPr="004A52EA">
              <w:t>For pain assessment in children with different levels of cognitive impairment, during post-operative care or any acute painful event in a clinical setting</w:t>
            </w:r>
          </w:p>
        </w:tc>
        <w:tc>
          <w:tcPr>
            <w:tcW w:w="0" w:type="auto"/>
            <w:tcBorders>
              <w:top w:val="single" w:sz="8" w:space="0" w:color="FFFFFF"/>
              <w:left w:val="single" w:sz="8" w:space="0" w:color="FFFFFF"/>
              <w:bottom w:val="single" w:sz="8" w:space="0" w:color="FFFFFF"/>
              <w:right w:val="single" w:sz="8" w:space="0" w:color="FFFFFF"/>
            </w:tcBorders>
            <w:shd w:val="clear" w:color="auto" w:fill="CDD7DF"/>
            <w:tcMar>
              <w:top w:w="15" w:type="dxa"/>
              <w:left w:w="108" w:type="dxa"/>
              <w:bottom w:w="0" w:type="dxa"/>
              <w:right w:w="108" w:type="dxa"/>
            </w:tcMar>
            <w:hideMark/>
          </w:tcPr>
          <w:p w:rsidR="00434AA1" w:rsidRPr="004A52EA" w:rsidRDefault="004A52EA" w:rsidP="004A52EA">
            <w:pPr>
              <w:spacing w:after="0"/>
            </w:pPr>
            <w:r w:rsidRPr="004A52EA">
              <w:t xml:space="preserve">For pain assessment in non-verbal children with severe cognitive impairment, during post-operative care or anticipated painful event/ procedure </w:t>
            </w:r>
          </w:p>
        </w:tc>
      </w:tr>
      <w:tr w:rsidR="004A52EA" w:rsidRPr="004A52EA" w:rsidTr="004A52EA">
        <w:trPr>
          <w:trHeight w:val="1591"/>
        </w:trPr>
        <w:tc>
          <w:tcPr>
            <w:tcW w:w="0" w:type="auto"/>
            <w:tcBorders>
              <w:top w:val="single" w:sz="8" w:space="0" w:color="FFFFFF"/>
              <w:left w:val="single" w:sz="8" w:space="0" w:color="FFFFFF"/>
              <w:bottom w:val="single" w:sz="8" w:space="0" w:color="FFFFFF"/>
              <w:right w:val="single" w:sz="8" w:space="0" w:color="FFFFFF"/>
            </w:tcBorders>
            <w:shd w:val="clear" w:color="auto" w:fill="E8ECF0"/>
            <w:tcMar>
              <w:top w:w="15" w:type="dxa"/>
              <w:left w:w="108" w:type="dxa"/>
              <w:bottom w:w="0" w:type="dxa"/>
              <w:right w:w="108" w:type="dxa"/>
            </w:tcMar>
            <w:hideMark/>
          </w:tcPr>
          <w:p w:rsidR="00434AA1" w:rsidRPr="004A52EA" w:rsidRDefault="004A52EA" w:rsidP="004A52EA">
            <w:pPr>
              <w:spacing w:after="0"/>
            </w:pPr>
            <w:r w:rsidRPr="004A52EA">
              <w:rPr>
                <w:b/>
                <w:bCs/>
              </w:rPr>
              <w:t>Clinical Bottom Line</w:t>
            </w:r>
          </w:p>
        </w:tc>
        <w:tc>
          <w:tcPr>
            <w:tcW w:w="0" w:type="auto"/>
            <w:tcBorders>
              <w:top w:val="single" w:sz="8" w:space="0" w:color="FFFFFF"/>
              <w:left w:val="single" w:sz="8" w:space="0" w:color="FFFFFF"/>
              <w:bottom w:val="single" w:sz="8" w:space="0" w:color="FFFFFF"/>
              <w:right w:val="single" w:sz="8" w:space="0" w:color="FFFFFF"/>
            </w:tcBorders>
            <w:shd w:val="clear" w:color="auto" w:fill="E8ECF0"/>
            <w:tcMar>
              <w:top w:w="15" w:type="dxa"/>
              <w:left w:w="108" w:type="dxa"/>
              <w:bottom w:w="0" w:type="dxa"/>
              <w:right w:w="108" w:type="dxa"/>
            </w:tcMar>
            <w:hideMark/>
          </w:tcPr>
          <w:p w:rsidR="00434AA1" w:rsidRPr="004A52EA" w:rsidRDefault="004A52EA" w:rsidP="004A52EA">
            <w:pPr>
              <w:spacing w:after="0"/>
            </w:pPr>
            <w:r w:rsidRPr="004A52EA">
              <w:t>Revised FLACC can provide a standardized , yet more suited pain assessment tool in children with CI as it incorporates behaviors that are specific to this population of patients</w:t>
            </w:r>
          </w:p>
        </w:tc>
        <w:tc>
          <w:tcPr>
            <w:tcW w:w="0" w:type="auto"/>
            <w:tcBorders>
              <w:top w:val="single" w:sz="8" w:space="0" w:color="FFFFFF"/>
              <w:left w:val="single" w:sz="8" w:space="0" w:color="FFFFFF"/>
              <w:bottom w:val="single" w:sz="8" w:space="0" w:color="FFFFFF"/>
              <w:right w:val="single" w:sz="8" w:space="0" w:color="FFFFFF"/>
            </w:tcBorders>
            <w:shd w:val="clear" w:color="auto" w:fill="E8ECF0"/>
            <w:tcMar>
              <w:top w:w="15" w:type="dxa"/>
              <w:left w:w="108" w:type="dxa"/>
              <w:bottom w:w="0" w:type="dxa"/>
              <w:right w:w="108" w:type="dxa"/>
            </w:tcMar>
            <w:hideMark/>
          </w:tcPr>
          <w:p w:rsidR="00434AA1" w:rsidRPr="004A52EA" w:rsidRDefault="004A52EA" w:rsidP="004A52EA">
            <w:pPr>
              <w:spacing w:after="0"/>
            </w:pPr>
            <w:r w:rsidRPr="004A52EA">
              <w:t xml:space="preserve">INRS can provide a standardized, yet individualized pain assessment tool in children with CI </w:t>
            </w:r>
          </w:p>
        </w:tc>
      </w:tr>
    </w:tbl>
    <w:p w:rsidR="004A52EA" w:rsidRDefault="004A52EA" w:rsidP="004A52EA">
      <w:pPr>
        <w:spacing w:after="0"/>
      </w:pPr>
    </w:p>
    <w:p w:rsidR="00A71389" w:rsidRDefault="00A71389" w:rsidP="004A52EA">
      <w:pPr>
        <w:spacing w:after="0"/>
      </w:pPr>
      <w:r w:rsidRPr="001D28A4">
        <w:rPr>
          <w:b/>
        </w:rPr>
        <w:t xml:space="preserve">Bottom </w:t>
      </w:r>
      <w:r w:rsidR="001D28A4" w:rsidRPr="001D28A4">
        <w:rPr>
          <w:b/>
        </w:rPr>
        <w:t>line</w:t>
      </w:r>
      <w:r w:rsidR="001D28A4">
        <w:t xml:space="preserve">: </w:t>
      </w:r>
      <w:bookmarkStart w:id="0" w:name="_GoBack"/>
      <w:bookmarkEnd w:id="0"/>
      <w:r>
        <w:t>recommended and validated pain scales for use:</w:t>
      </w:r>
    </w:p>
    <w:p w:rsidR="00434AA1" w:rsidRPr="00A71389" w:rsidRDefault="00A71389" w:rsidP="00A71389">
      <w:pPr>
        <w:spacing w:after="0"/>
      </w:pPr>
      <w:r>
        <w:rPr>
          <w:b/>
          <w:bCs/>
        </w:rPr>
        <w:t>The Revised FLACC</w:t>
      </w:r>
      <w:r>
        <w:t xml:space="preserve"> provides a more s</w:t>
      </w:r>
      <w:r w:rsidR="004C0EE2" w:rsidRPr="00A71389">
        <w:t>tandardized</w:t>
      </w:r>
      <w:r>
        <w:t xml:space="preserve"> and yet s</w:t>
      </w:r>
      <w:r w:rsidR="004C0EE2" w:rsidRPr="00A71389">
        <w:t xml:space="preserve">pecific pain assessment </w:t>
      </w:r>
      <w:r>
        <w:t xml:space="preserve">that can be applied in a broad range of cognitive impaired children, and can easily be used in a clinical setting even when the child’s specific pain descriptors are </w:t>
      </w:r>
      <w:proofErr w:type="spellStart"/>
      <w:r>
        <w:t>unkown</w:t>
      </w:r>
      <w:proofErr w:type="spellEnd"/>
      <w:r>
        <w:t>.</w:t>
      </w:r>
    </w:p>
    <w:p w:rsidR="00434AA1" w:rsidRPr="00A71389" w:rsidRDefault="00A71389" w:rsidP="00A71389">
      <w:pPr>
        <w:spacing w:after="0"/>
      </w:pPr>
      <w:r>
        <w:rPr>
          <w:b/>
          <w:bCs/>
        </w:rPr>
        <w:t xml:space="preserve">The </w:t>
      </w:r>
      <w:r w:rsidR="004C0EE2" w:rsidRPr="00A71389">
        <w:rPr>
          <w:b/>
          <w:bCs/>
        </w:rPr>
        <w:t>INRS</w:t>
      </w:r>
      <w:r>
        <w:t xml:space="preserve"> also provides a s</w:t>
      </w:r>
      <w:r w:rsidR="004C0EE2" w:rsidRPr="00A71389">
        <w:t>tandardized</w:t>
      </w:r>
      <w:r>
        <w:t xml:space="preserve"> and </w:t>
      </w:r>
      <w:r w:rsidR="004C0EE2" w:rsidRPr="00A71389">
        <w:t>individualized</w:t>
      </w:r>
      <w:r>
        <w:t xml:space="preserve"> pain assessment tool, however its application is limited with the reliance in the caregiver’s k</w:t>
      </w:r>
      <w:r w:rsidR="004C0EE2" w:rsidRPr="00A71389">
        <w:t xml:space="preserve">nowledge child’s </w:t>
      </w:r>
      <w:r>
        <w:t>specific/ unique pain behaviors and its use was studied in children with significant cognitive impairment.</w:t>
      </w:r>
    </w:p>
    <w:p w:rsidR="00A71389" w:rsidRPr="00EF16D9" w:rsidRDefault="00A71389" w:rsidP="004A52EA">
      <w:pPr>
        <w:spacing w:after="0"/>
      </w:pPr>
    </w:p>
    <w:p w:rsidR="00EF16D9" w:rsidRPr="00580F1D" w:rsidRDefault="00580F1D" w:rsidP="004A52EA">
      <w:pPr>
        <w:spacing w:after="0"/>
        <w:rPr>
          <w:b/>
        </w:rPr>
      </w:pPr>
      <w:r w:rsidRPr="00580F1D">
        <w:rPr>
          <w:b/>
        </w:rPr>
        <w:t>References:</w:t>
      </w:r>
    </w:p>
    <w:p w:rsidR="00434AA1" w:rsidRPr="00580F1D" w:rsidRDefault="004C0EE2" w:rsidP="004A52EA">
      <w:pPr>
        <w:numPr>
          <w:ilvl w:val="0"/>
          <w:numId w:val="2"/>
        </w:numPr>
        <w:spacing w:after="0"/>
      </w:pPr>
      <w:proofErr w:type="spellStart"/>
      <w:r w:rsidRPr="00580F1D">
        <w:t>Breau</w:t>
      </w:r>
      <w:proofErr w:type="spellEnd"/>
      <w:r w:rsidRPr="00580F1D">
        <w:t xml:space="preserve">, L.M., et al., </w:t>
      </w:r>
      <w:r w:rsidRPr="00580F1D">
        <w:rPr>
          <w:i/>
          <w:iCs/>
        </w:rPr>
        <w:t>Validation of the Non-communicating Children's Pain Checklist-Postoperative Version. Anesthesiology, 2002. 96(3): p. 528-35.</w:t>
      </w:r>
      <w:r w:rsidRPr="00580F1D">
        <w:t xml:space="preserve"> </w:t>
      </w:r>
    </w:p>
    <w:p w:rsidR="00434AA1" w:rsidRPr="00580F1D" w:rsidRDefault="004C0EE2" w:rsidP="004A52EA">
      <w:pPr>
        <w:numPr>
          <w:ilvl w:val="0"/>
          <w:numId w:val="2"/>
        </w:numPr>
        <w:spacing w:after="0"/>
      </w:pPr>
      <w:proofErr w:type="spellStart"/>
      <w:r w:rsidRPr="00580F1D">
        <w:t>Breau</w:t>
      </w:r>
      <w:proofErr w:type="spellEnd"/>
      <w:r w:rsidRPr="00580F1D">
        <w:t xml:space="preserve">, L.M., et al., </w:t>
      </w:r>
      <w:r w:rsidRPr="00580F1D">
        <w:rPr>
          <w:i/>
          <w:iCs/>
        </w:rPr>
        <w:t>Psychometric properties of the non-communicating children's pain checklist-revised. Pain, 2002</w:t>
      </w:r>
      <w:r w:rsidRPr="001D28A4">
        <w:rPr>
          <w:i/>
          <w:iCs/>
        </w:rPr>
        <w:t xml:space="preserve">. </w:t>
      </w:r>
      <w:r w:rsidRPr="001D28A4">
        <w:rPr>
          <w:bCs/>
          <w:i/>
          <w:iCs/>
        </w:rPr>
        <w:t>99(1-2): p. 349-57.</w:t>
      </w:r>
    </w:p>
    <w:p w:rsidR="00434AA1" w:rsidRPr="001D28A4" w:rsidRDefault="004C0EE2" w:rsidP="004A52EA">
      <w:pPr>
        <w:numPr>
          <w:ilvl w:val="0"/>
          <w:numId w:val="2"/>
        </w:numPr>
        <w:spacing w:after="0"/>
      </w:pPr>
      <w:proofErr w:type="spellStart"/>
      <w:r w:rsidRPr="00580F1D">
        <w:t>Malviya</w:t>
      </w:r>
      <w:proofErr w:type="spellEnd"/>
      <w:r w:rsidRPr="00580F1D">
        <w:t xml:space="preserve">, S., et al., </w:t>
      </w:r>
      <w:r w:rsidRPr="00580F1D">
        <w:rPr>
          <w:i/>
          <w:iCs/>
        </w:rPr>
        <w:t xml:space="preserve">The revised FLACC observational pain tool: improved reliability and validity for pain assessment in children with cognitive impairment. </w:t>
      </w:r>
      <w:proofErr w:type="spellStart"/>
      <w:r w:rsidRPr="00580F1D">
        <w:rPr>
          <w:i/>
          <w:iCs/>
        </w:rPr>
        <w:t>Paediatr</w:t>
      </w:r>
      <w:proofErr w:type="spellEnd"/>
      <w:r w:rsidRPr="00580F1D">
        <w:rPr>
          <w:i/>
          <w:iCs/>
        </w:rPr>
        <w:t xml:space="preserve"> </w:t>
      </w:r>
      <w:proofErr w:type="spellStart"/>
      <w:r w:rsidRPr="00580F1D">
        <w:rPr>
          <w:i/>
          <w:iCs/>
        </w:rPr>
        <w:t>Anaesth</w:t>
      </w:r>
      <w:proofErr w:type="spellEnd"/>
      <w:r w:rsidRPr="00580F1D">
        <w:rPr>
          <w:i/>
          <w:iCs/>
        </w:rPr>
        <w:t>, 2006</w:t>
      </w:r>
      <w:r w:rsidRPr="001D28A4">
        <w:rPr>
          <w:i/>
          <w:iCs/>
        </w:rPr>
        <w:t xml:space="preserve">. </w:t>
      </w:r>
      <w:r w:rsidRPr="001D28A4">
        <w:rPr>
          <w:bCs/>
          <w:i/>
          <w:iCs/>
        </w:rPr>
        <w:t>16(3): p. 258-65.</w:t>
      </w:r>
    </w:p>
    <w:p w:rsidR="00434AA1" w:rsidRPr="001D28A4" w:rsidRDefault="004C0EE2" w:rsidP="004A52EA">
      <w:pPr>
        <w:numPr>
          <w:ilvl w:val="0"/>
          <w:numId w:val="2"/>
        </w:numPr>
        <w:spacing w:after="0"/>
      </w:pPr>
      <w:proofErr w:type="spellStart"/>
      <w:r w:rsidRPr="00580F1D">
        <w:t>Solodiuk</w:t>
      </w:r>
      <w:proofErr w:type="spellEnd"/>
      <w:r w:rsidRPr="00580F1D">
        <w:t xml:space="preserve">, J. and M.A. Curley, </w:t>
      </w:r>
      <w:r w:rsidRPr="00580F1D">
        <w:rPr>
          <w:i/>
          <w:iCs/>
        </w:rPr>
        <w:t xml:space="preserve">Pain assessment in nonverbal children with severe cognitive impairments: the Individualized Numeric Rating Scale (INRS). J </w:t>
      </w:r>
      <w:proofErr w:type="spellStart"/>
      <w:r w:rsidRPr="00580F1D">
        <w:rPr>
          <w:i/>
          <w:iCs/>
        </w:rPr>
        <w:t>Pediatr</w:t>
      </w:r>
      <w:proofErr w:type="spellEnd"/>
      <w:r w:rsidRPr="00580F1D">
        <w:rPr>
          <w:i/>
          <w:iCs/>
        </w:rPr>
        <w:t xml:space="preserve"> </w:t>
      </w:r>
      <w:proofErr w:type="spellStart"/>
      <w:r w:rsidRPr="00580F1D">
        <w:rPr>
          <w:i/>
          <w:iCs/>
        </w:rPr>
        <w:t>Nurs</w:t>
      </w:r>
      <w:proofErr w:type="spellEnd"/>
      <w:r w:rsidRPr="00580F1D">
        <w:rPr>
          <w:i/>
          <w:iCs/>
        </w:rPr>
        <w:t>, 2003</w:t>
      </w:r>
      <w:r w:rsidRPr="001D28A4">
        <w:rPr>
          <w:i/>
          <w:iCs/>
        </w:rPr>
        <w:t xml:space="preserve">. </w:t>
      </w:r>
      <w:r w:rsidRPr="001D28A4">
        <w:rPr>
          <w:bCs/>
          <w:i/>
          <w:iCs/>
        </w:rPr>
        <w:t>18(4): p. 295-9.</w:t>
      </w:r>
    </w:p>
    <w:p w:rsidR="00434AA1" w:rsidRPr="001D28A4" w:rsidRDefault="004C0EE2" w:rsidP="004A52EA">
      <w:pPr>
        <w:numPr>
          <w:ilvl w:val="0"/>
          <w:numId w:val="2"/>
        </w:numPr>
        <w:spacing w:after="0"/>
      </w:pPr>
      <w:proofErr w:type="spellStart"/>
      <w:r w:rsidRPr="00580F1D">
        <w:t>Solodiuk</w:t>
      </w:r>
      <w:proofErr w:type="spellEnd"/>
      <w:r w:rsidRPr="00580F1D">
        <w:t xml:space="preserve">, J.C., et al., </w:t>
      </w:r>
      <w:r w:rsidRPr="00580F1D">
        <w:rPr>
          <w:i/>
          <w:iCs/>
        </w:rPr>
        <w:t xml:space="preserve">Validation of the Individualized Numeric Rating Scale (INRS): a pain assessment tool for nonverbal children with intellectual disability. Pain, 2010. </w:t>
      </w:r>
      <w:r w:rsidRPr="001D28A4">
        <w:rPr>
          <w:bCs/>
          <w:i/>
          <w:iCs/>
        </w:rPr>
        <w:t>150(2): p. 231-6.</w:t>
      </w:r>
      <w:r w:rsidRPr="001D28A4">
        <w:t xml:space="preserve"> </w:t>
      </w:r>
    </w:p>
    <w:p w:rsidR="00434AA1" w:rsidRPr="00580F1D" w:rsidRDefault="004C0EE2" w:rsidP="004A52EA">
      <w:pPr>
        <w:numPr>
          <w:ilvl w:val="0"/>
          <w:numId w:val="2"/>
        </w:numPr>
        <w:spacing w:after="0"/>
      </w:pPr>
      <w:proofErr w:type="spellStart"/>
      <w:r w:rsidRPr="00580F1D">
        <w:t>Voepel</w:t>
      </w:r>
      <w:proofErr w:type="spellEnd"/>
      <w:r w:rsidRPr="00580F1D">
        <w:t xml:space="preserve">-Lewis, T., et al., </w:t>
      </w:r>
      <w:r w:rsidRPr="00580F1D">
        <w:rPr>
          <w:i/>
          <w:iCs/>
        </w:rPr>
        <w:t xml:space="preserve">The reliability and validity of the Face, Legs, Activity, Cry, </w:t>
      </w:r>
      <w:proofErr w:type="spellStart"/>
      <w:r w:rsidRPr="00580F1D">
        <w:rPr>
          <w:i/>
          <w:iCs/>
        </w:rPr>
        <w:t>Consolability</w:t>
      </w:r>
      <w:proofErr w:type="spellEnd"/>
      <w:r w:rsidRPr="00580F1D">
        <w:rPr>
          <w:i/>
          <w:iCs/>
        </w:rPr>
        <w:t xml:space="preserve"> observational tool as a measure of pain in children with cognitive impairment. </w:t>
      </w:r>
      <w:proofErr w:type="spellStart"/>
      <w:r w:rsidRPr="00580F1D">
        <w:rPr>
          <w:i/>
          <w:iCs/>
        </w:rPr>
        <w:t>Anesth</w:t>
      </w:r>
      <w:proofErr w:type="spellEnd"/>
      <w:r w:rsidRPr="00580F1D">
        <w:rPr>
          <w:i/>
          <w:iCs/>
        </w:rPr>
        <w:t xml:space="preserve"> </w:t>
      </w:r>
      <w:proofErr w:type="spellStart"/>
      <w:r w:rsidRPr="00580F1D">
        <w:rPr>
          <w:i/>
          <w:iCs/>
        </w:rPr>
        <w:t>Analg</w:t>
      </w:r>
      <w:proofErr w:type="spellEnd"/>
      <w:r w:rsidRPr="00580F1D">
        <w:rPr>
          <w:i/>
          <w:iCs/>
        </w:rPr>
        <w:t>, 2002. 95(5): p. 1224-9, table of contents.</w:t>
      </w:r>
      <w:r w:rsidRPr="00580F1D">
        <w:t xml:space="preserve"> </w:t>
      </w:r>
    </w:p>
    <w:p w:rsidR="00434AA1" w:rsidRPr="001D28A4" w:rsidRDefault="004C0EE2" w:rsidP="004A52EA">
      <w:pPr>
        <w:numPr>
          <w:ilvl w:val="0"/>
          <w:numId w:val="2"/>
        </w:numPr>
        <w:spacing w:after="0"/>
      </w:pPr>
      <w:proofErr w:type="spellStart"/>
      <w:r w:rsidRPr="00580F1D">
        <w:t>Voepel</w:t>
      </w:r>
      <w:proofErr w:type="spellEnd"/>
      <w:r w:rsidRPr="00580F1D">
        <w:t xml:space="preserve">-Lewis, T., et al., </w:t>
      </w:r>
      <w:r w:rsidRPr="00580F1D">
        <w:rPr>
          <w:i/>
          <w:iCs/>
        </w:rPr>
        <w:t xml:space="preserve">A comparison of the clinical utility of pain assessment tools for children with cognitive impairment. </w:t>
      </w:r>
      <w:proofErr w:type="spellStart"/>
      <w:r w:rsidRPr="00580F1D">
        <w:rPr>
          <w:i/>
          <w:iCs/>
        </w:rPr>
        <w:t>Anesth</w:t>
      </w:r>
      <w:proofErr w:type="spellEnd"/>
      <w:r w:rsidRPr="00580F1D">
        <w:rPr>
          <w:i/>
          <w:iCs/>
        </w:rPr>
        <w:t xml:space="preserve"> </w:t>
      </w:r>
      <w:proofErr w:type="spellStart"/>
      <w:r w:rsidRPr="00580F1D">
        <w:rPr>
          <w:i/>
          <w:iCs/>
        </w:rPr>
        <w:t>Analg</w:t>
      </w:r>
      <w:proofErr w:type="spellEnd"/>
      <w:r w:rsidRPr="00580F1D">
        <w:rPr>
          <w:i/>
          <w:iCs/>
        </w:rPr>
        <w:t xml:space="preserve">, </w:t>
      </w:r>
      <w:r w:rsidRPr="001D28A4">
        <w:rPr>
          <w:i/>
          <w:iCs/>
        </w:rPr>
        <w:t xml:space="preserve">2008. </w:t>
      </w:r>
      <w:r w:rsidR="001D28A4" w:rsidRPr="001D28A4">
        <w:rPr>
          <w:bCs/>
          <w:i/>
          <w:iCs/>
        </w:rPr>
        <w:t>106(1): p. 72-8</w:t>
      </w:r>
      <w:r w:rsidR="001D28A4">
        <w:rPr>
          <w:bCs/>
          <w:i/>
          <w:iCs/>
        </w:rPr>
        <w:t>.</w:t>
      </w:r>
    </w:p>
    <w:p w:rsidR="00580F1D" w:rsidRDefault="00580F1D" w:rsidP="004A52EA">
      <w:pPr>
        <w:spacing w:after="0"/>
      </w:pPr>
    </w:p>
    <w:sectPr w:rsidR="00580F1D" w:rsidSect="004C0EE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72905"/>
    <w:multiLevelType w:val="hybridMultilevel"/>
    <w:tmpl w:val="9BCEC2D2"/>
    <w:lvl w:ilvl="0" w:tplc="99B65C0E">
      <w:start w:val="1"/>
      <w:numFmt w:val="bullet"/>
      <w:lvlText w:val=""/>
      <w:lvlJc w:val="left"/>
      <w:pPr>
        <w:tabs>
          <w:tab w:val="num" w:pos="720"/>
        </w:tabs>
        <w:ind w:left="720" w:hanging="360"/>
      </w:pPr>
      <w:rPr>
        <w:rFonts w:ascii="Wingdings 2" w:hAnsi="Wingdings 2" w:hint="default"/>
      </w:rPr>
    </w:lvl>
    <w:lvl w:ilvl="1" w:tplc="EA8A3BA8">
      <w:start w:val="2354"/>
      <w:numFmt w:val="bullet"/>
      <w:lvlText w:val=""/>
      <w:lvlJc w:val="left"/>
      <w:pPr>
        <w:tabs>
          <w:tab w:val="num" w:pos="1440"/>
        </w:tabs>
        <w:ind w:left="1440" w:hanging="360"/>
      </w:pPr>
      <w:rPr>
        <w:rFonts w:ascii="Wingdings 2" w:hAnsi="Wingdings 2" w:hint="default"/>
      </w:rPr>
    </w:lvl>
    <w:lvl w:ilvl="2" w:tplc="F364E93C" w:tentative="1">
      <w:start w:val="1"/>
      <w:numFmt w:val="bullet"/>
      <w:lvlText w:val=""/>
      <w:lvlJc w:val="left"/>
      <w:pPr>
        <w:tabs>
          <w:tab w:val="num" w:pos="2160"/>
        </w:tabs>
        <w:ind w:left="2160" w:hanging="360"/>
      </w:pPr>
      <w:rPr>
        <w:rFonts w:ascii="Wingdings 2" w:hAnsi="Wingdings 2" w:hint="default"/>
      </w:rPr>
    </w:lvl>
    <w:lvl w:ilvl="3" w:tplc="285A4C9A" w:tentative="1">
      <w:start w:val="1"/>
      <w:numFmt w:val="bullet"/>
      <w:lvlText w:val=""/>
      <w:lvlJc w:val="left"/>
      <w:pPr>
        <w:tabs>
          <w:tab w:val="num" w:pos="2880"/>
        </w:tabs>
        <w:ind w:left="2880" w:hanging="360"/>
      </w:pPr>
      <w:rPr>
        <w:rFonts w:ascii="Wingdings 2" w:hAnsi="Wingdings 2" w:hint="default"/>
      </w:rPr>
    </w:lvl>
    <w:lvl w:ilvl="4" w:tplc="2680887C" w:tentative="1">
      <w:start w:val="1"/>
      <w:numFmt w:val="bullet"/>
      <w:lvlText w:val=""/>
      <w:lvlJc w:val="left"/>
      <w:pPr>
        <w:tabs>
          <w:tab w:val="num" w:pos="3600"/>
        </w:tabs>
        <w:ind w:left="3600" w:hanging="360"/>
      </w:pPr>
      <w:rPr>
        <w:rFonts w:ascii="Wingdings 2" w:hAnsi="Wingdings 2" w:hint="default"/>
      </w:rPr>
    </w:lvl>
    <w:lvl w:ilvl="5" w:tplc="9A4A72DA" w:tentative="1">
      <w:start w:val="1"/>
      <w:numFmt w:val="bullet"/>
      <w:lvlText w:val=""/>
      <w:lvlJc w:val="left"/>
      <w:pPr>
        <w:tabs>
          <w:tab w:val="num" w:pos="4320"/>
        </w:tabs>
        <w:ind w:left="4320" w:hanging="360"/>
      </w:pPr>
      <w:rPr>
        <w:rFonts w:ascii="Wingdings 2" w:hAnsi="Wingdings 2" w:hint="default"/>
      </w:rPr>
    </w:lvl>
    <w:lvl w:ilvl="6" w:tplc="835C0732" w:tentative="1">
      <w:start w:val="1"/>
      <w:numFmt w:val="bullet"/>
      <w:lvlText w:val=""/>
      <w:lvlJc w:val="left"/>
      <w:pPr>
        <w:tabs>
          <w:tab w:val="num" w:pos="5040"/>
        </w:tabs>
        <w:ind w:left="5040" w:hanging="360"/>
      </w:pPr>
      <w:rPr>
        <w:rFonts w:ascii="Wingdings 2" w:hAnsi="Wingdings 2" w:hint="default"/>
      </w:rPr>
    </w:lvl>
    <w:lvl w:ilvl="7" w:tplc="88F833A0" w:tentative="1">
      <w:start w:val="1"/>
      <w:numFmt w:val="bullet"/>
      <w:lvlText w:val=""/>
      <w:lvlJc w:val="left"/>
      <w:pPr>
        <w:tabs>
          <w:tab w:val="num" w:pos="5760"/>
        </w:tabs>
        <w:ind w:left="5760" w:hanging="360"/>
      </w:pPr>
      <w:rPr>
        <w:rFonts w:ascii="Wingdings 2" w:hAnsi="Wingdings 2" w:hint="default"/>
      </w:rPr>
    </w:lvl>
    <w:lvl w:ilvl="8" w:tplc="DFFC4C00" w:tentative="1">
      <w:start w:val="1"/>
      <w:numFmt w:val="bullet"/>
      <w:lvlText w:val=""/>
      <w:lvlJc w:val="left"/>
      <w:pPr>
        <w:tabs>
          <w:tab w:val="num" w:pos="6480"/>
        </w:tabs>
        <w:ind w:left="6480" w:hanging="360"/>
      </w:pPr>
      <w:rPr>
        <w:rFonts w:ascii="Wingdings 2" w:hAnsi="Wingdings 2" w:hint="default"/>
      </w:rPr>
    </w:lvl>
  </w:abstractNum>
  <w:abstractNum w:abstractNumId="1">
    <w:nsid w:val="36D95072"/>
    <w:multiLevelType w:val="hybridMultilevel"/>
    <w:tmpl w:val="F218499C"/>
    <w:lvl w:ilvl="0" w:tplc="50985E26">
      <w:start w:val="1"/>
      <w:numFmt w:val="bullet"/>
      <w:lvlText w:val=""/>
      <w:lvlJc w:val="left"/>
      <w:pPr>
        <w:tabs>
          <w:tab w:val="num" w:pos="720"/>
        </w:tabs>
        <w:ind w:left="720" w:hanging="360"/>
      </w:pPr>
      <w:rPr>
        <w:rFonts w:ascii="Wingdings 2" w:hAnsi="Wingdings 2" w:hint="default"/>
      </w:rPr>
    </w:lvl>
    <w:lvl w:ilvl="1" w:tplc="74B82896">
      <w:start w:val="1"/>
      <w:numFmt w:val="bullet"/>
      <w:lvlText w:val=""/>
      <w:lvlJc w:val="left"/>
      <w:pPr>
        <w:tabs>
          <w:tab w:val="num" w:pos="1440"/>
        </w:tabs>
        <w:ind w:left="1440" w:hanging="360"/>
      </w:pPr>
      <w:rPr>
        <w:rFonts w:ascii="Wingdings 2" w:hAnsi="Wingdings 2" w:hint="default"/>
      </w:rPr>
    </w:lvl>
    <w:lvl w:ilvl="2" w:tplc="7F6260B4" w:tentative="1">
      <w:start w:val="1"/>
      <w:numFmt w:val="bullet"/>
      <w:lvlText w:val=""/>
      <w:lvlJc w:val="left"/>
      <w:pPr>
        <w:tabs>
          <w:tab w:val="num" w:pos="2160"/>
        </w:tabs>
        <w:ind w:left="2160" w:hanging="360"/>
      </w:pPr>
      <w:rPr>
        <w:rFonts w:ascii="Wingdings 2" w:hAnsi="Wingdings 2" w:hint="default"/>
      </w:rPr>
    </w:lvl>
    <w:lvl w:ilvl="3" w:tplc="53BE037C" w:tentative="1">
      <w:start w:val="1"/>
      <w:numFmt w:val="bullet"/>
      <w:lvlText w:val=""/>
      <w:lvlJc w:val="left"/>
      <w:pPr>
        <w:tabs>
          <w:tab w:val="num" w:pos="2880"/>
        </w:tabs>
        <w:ind w:left="2880" w:hanging="360"/>
      </w:pPr>
      <w:rPr>
        <w:rFonts w:ascii="Wingdings 2" w:hAnsi="Wingdings 2" w:hint="default"/>
      </w:rPr>
    </w:lvl>
    <w:lvl w:ilvl="4" w:tplc="0C2416F8" w:tentative="1">
      <w:start w:val="1"/>
      <w:numFmt w:val="bullet"/>
      <w:lvlText w:val=""/>
      <w:lvlJc w:val="left"/>
      <w:pPr>
        <w:tabs>
          <w:tab w:val="num" w:pos="3600"/>
        </w:tabs>
        <w:ind w:left="3600" w:hanging="360"/>
      </w:pPr>
      <w:rPr>
        <w:rFonts w:ascii="Wingdings 2" w:hAnsi="Wingdings 2" w:hint="default"/>
      </w:rPr>
    </w:lvl>
    <w:lvl w:ilvl="5" w:tplc="91D06266" w:tentative="1">
      <w:start w:val="1"/>
      <w:numFmt w:val="bullet"/>
      <w:lvlText w:val=""/>
      <w:lvlJc w:val="left"/>
      <w:pPr>
        <w:tabs>
          <w:tab w:val="num" w:pos="4320"/>
        </w:tabs>
        <w:ind w:left="4320" w:hanging="360"/>
      </w:pPr>
      <w:rPr>
        <w:rFonts w:ascii="Wingdings 2" w:hAnsi="Wingdings 2" w:hint="default"/>
      </w:rPr>
    </w:lvl>
    <w:lvl w:ilvl="6" w:tplc="6D1061D8" w:tentative="1">
      <w:start w:val="1"/>
      <w:numFmt w:val="bullet"/>
      <w:lvlText w:val=""/>
      <w:lvlJc w:val="left"/>
      <w:pPr>
        <w:tabs>
          <w:tab w:val="num" w:pos="5040"/>
        </w:tabs>
        <w:ind w:left="5040" w:hanging="360"/>
      </w:pPr>
      <w:rPr>
        <w:rFonts w:ascii="Wingdings 2" w:hAnsi="Wingdings 2" w:hint="default"/>
      </w:rPr>
    </w:lvl>
    <w:lvl w:ilvl="7" w:tplc="0464B198" w:tentative="1">
      <w:start w:val="1"/>
      <w:numFmt w:val="bullet"/>
      <w:lvlText w:val=""/>
      <w:lvlJc w:val="left"/>
      <w:pPr>
        <w:tabs>
          <w:tab w:val="num" w:pos="5760"/>
        </w:tabs>
        <w:ind w:left="5760" w:hanging="360"/>
      </w:pPr>
      <w:rPr>
        <w:rFonts w:ascii="Wingdings 2" w:hAnsi="Wingdings 2" w:hint="default"/>
      </w:rPr>
    </w:lvl>
    <w:lvl w:ilvl="8" w:tplc="84C893F0" w:tentative="1">
      <w:start w:val="1"/>
      <w:numFmt w:val="bullet"/>
      <w:lvlText w:val=""/>
      <w:lvlJc w:val="left"/>
      <w:pPr>
        <w:tabs>
          <w:tab w:val="num" w:pos="6480"/>
        </w:tabs>
        <w:ind w:left="6480" w:hanging="360"/>
      </w:pPr>
      <w:rPr>
        <w:rFonts w:ascii="Wingdings 2" w:hAnsi="Wingdings 2" w:hint="default"/>
      </w:rPr>
    </w:lvl>
  </w:abstractNum>
  <w:abstractNum w:abstractNumId="2">
    <w:nsid w:val="4E606ED2"/>
    <w:multiLevelType w:val="hybridMultilevel"/>
    <w:tmpl w:val="6872367A"/>
    <w:lvl w:ilvl="0" w:tplc="5406C92A">
      <w:start w:val="1"/>
      <w:numFmt w:val="bullet"/>
      <w:lvlText w:val=""/>
      <w:lvlJc w:val="left"/>
      <w:pPr>
        <w:tabs>
          <w:tab w:val="num" w:pos="720"/>
        </w:tabs>
        <w:ind w:left="720" w:hanging="360"/>
      </w:pPr>
      <w:rPr>
        <w:rFonts w:ascii="Wingdings 2" w:hAnsi="Wingdings 2" w:hint="default"/>
      </w:rPr>
    </w:lvl>
    <w:lvl w:ilvl="1" w:tplc="F27AF248" w:tentative="1">
      <w:start w:val="1"/>
      <w:numFmt w:val="bullet"/>
      <w:lvlText w:val=""/>
      <w:lvlJc w:val="left"/>
      <w:pPr>
        <w:tabs>
          <w:tab w:val="num" w:pos="1440"/>
        </w:tabs>
        <w:ind w:left="1440" w:hanging="360"/>
      </w:pPr>
      <w:rPr>
        <w:rFonts w:ascii="Wingdings 2" w:hAnsi="Wingdings 2" w:hint="default"/>
      </w:rPr>
    </w:lvl>
    <w:lvl w:ilvl="2" w:tplc="7736D7A6" w:tentative="1">
      <w:start w:val="1"/>
      <w:numFmt w:val="bullet"/>
      <w:lvlText w:val=""/>
      <w:lvlJc w:val="left"/>
      <w:pPr>
        <w:tabs>
          <w:tab w:val="num" w:pos="2160"/>
        </w:tabs>
        <w:ind w:left="2160" w:hanging="360"/>
      </w:pPr>
      <w:rPr>
        <w:rFonts w:ascii="Wingdings 2" w:hAnsi="Wingdings 2" w:hint="default"/>
      </w:rPr>
    </w:lvl>
    <w:lvl w:ilvl="3" w:tplc="9F1C716A" w:tentative="1">
      <w:start w:val="1"/>
      <w:numFmt w:val="bullet"/>
      <w:lvlText w:val=""/>
      <w:lvlJc w:val="left"/>
      <w:pPr>
        <w:tabs>
          <w:tab w:val="num" w:pos="2880"/>
        </w:tabs>
        <w:ind w:left="2880" w:hanging="360"/>
      </w:pPr>
      <w:rPr>
        <w:rFonts w:ascii="Wingdings 2" w:hAnsi="Wingdings 2" w:hint="default"/>
      </w:rPr>
    </w:lvl>
    <w:lvl w:ilvl="4" w:tplc="5DF05E9A" w:tentative="1">
      <w:start w:val="1"/>
      <w:numFmt w:val="bullet"/>
      <w:lvlText w:val=""/>
      <w:lvlJc w:val="left"/>
      <w:pPr>
        <w:tabs>
          <w:tab w:val="num" w:pos="3600"/>
        </w:tabs>
        <w:ind w:left="3600" w:hanging="360"/>
      </w:pPr>
      <w:rPr>
        <w:rFonts w:ascii="Wingdings 2" w:hAnsi="Wingdings 2" w:hint="default"/>
      </w:rPr>
    </w:lvl>
    <w:lvl w:ilvl="5" w:tplc="93B88218" w:tentative="1">
      <w:start w:val="1"/>
      <w:numFmt w:val="bullet"/>
      <w:lvlText w:val=""/>
      <w:lvlJc w:val="left"/>
      <w:pPr>
        <w:tabs>
          <w:tab w:val="num" w:pos="4320"/>
        </w:tabs>
        <w:ind w:left="4320" w:hanging="360"/>
      </w:pPr>
      <w:rPr>
        <w:rFonts w:ascii="Wingdings 2" w:hAnsi="Wingdings 2" w:hint="default"/>
      </w:rPr>
    </w:lvl>
    <w:lvl w:ilvl="6" w:tplc="6858843C" w:tentative="1">
      <w:start w:val="1"/>
      <w:numFmt w:val="bullet"/>
      <w:lvlText w:val=""/>
      <w:lvlJc w:val="left"/>
      <w:pPr>
        <w:tabs>
          <w:tab w:val="num" w:pos="5040"/>
        </w:tabs>
        <w:ind w:left="5040" w:hanging="360"/>
      </w:pPr>
      <w:rPr>
        <w:rFonts w:ascii="Wingdings 2" w:hAnsi="Wingdings 2" w:hint="default"/>
      </w:rPr>
    </w:lvl>
    <w:lvl w:ilvl="7" w:tplc="78D04978" w:tentative="1">
      <w:start w:val="1"/>
      <w:numFmt w:val="bullet"/>
      <w:lvlText w:val=""/>
      <w:lvlJc w:val="left"/>
      <w:pPr>
        <w:tabs>
          <w:tab w:val="num" w:pos="5760"/>
        </w:tabs>
        <w:ind w:left="5760" w:hanging="360"/>
      </w:pPr>
      <w:rPr>
        <w:rFonts w:ascii="Wingdings 2" w:hAnsi="Wingdings 2" w:hint="default"/>
      </w:rPr>
    </w:lvl>
    <w:lvl w:ilvl="8" w:tplc="E1949C10" w:tentative="1">
      <w:start w:val="1"/>
      <w:numFmt w:val="bullet"/>
      <w:lvlText w:val=""/>
      <w:lvlJc w:val="left"/>
      <w:pPr>
        <w:tabs>
          <w:tab w:val="num" w:pos="6480"/>
        </w:tabs>
        <w:ind w:left="6480" w:hanging="360"/>
      </w:pPr>
      <w:rPr>
        <w:rFonts w:ascii="Wingdings 2" w:hAnsi="Wingdings 2" w:hint="default"/>
      </w:rPr>
    </w:lvl>
  </w:abstractNum>
  <w:abstractNum w:abstractNumId="3">
    <w:nsid w:val="752150F9"/>
    <w:multiLevelType w:val="hybridMultilevel"/>
    <w:tmpl w:val="2CE017A4"/>
    <w:lvl w:ilvl="0" w:tplc="34A025FE">
      <w:start w:val="1"/>
      <w:numFmt w:val="decimal"/>
      <w:lvlText w:val="%1."/>
      <w:lvlJc w:val="left"/>
      <w:pPr>
        <w:tabs>
          <w:tab w:val="num" w:pos="720"/>
        </w:tabs>
        <w:ind w:left="720" w:hanging="360"/>
      </w:pPr>
    </w:lvl>
    <w:lvl w:ilvl="1" w:tplc="ED96318A" w:tentative="1">
      <w:start w:val="1"/>
      <w:numFmt w:val="decimal"/>
      <w:lvlText w:val="%2."/>
      <w:lvlJc w:val="left"/>
      <w:pPr>
        <w:tabs>
          <w:tab w:val="num" w:pos="1440"/>
        </w:tabs>
        <w:ind w:left="1440" w:hanging="360"/>
      </w:pPr>
    </w:lvl>
    <w:lvl w:ilvl="2" w:tplc="DEB8FCAC" w:tentative="1">
      <w:start w:val="1"/>
      <w:numFmt w:val="decimal"/>
      <w:lvlText w:val="%3."/>
      <w:lvlJc w:val="left"/>
      <w:pPr>
        <w:tabs>
          <w:tab w:val="num" w:pos="2160"/>
        </w:tabs>
        <w:ind w:left="2160" w:hanging="360"/>
      </w:pPr>
    </w:lvl>
    <w:lvl w:ilvl="3" w:tplc="E318B2DA" w:tentative="1">
      <w:start w:val="1"/>
      <w:numFmt w:val="decimal"/>
      <w:lvlText w:val="%4."/>
      <w:lvlJc w:val="left"/>
      <w:pPr>
        <w:tabs>
          <w:tab w:val="num" w:pos="2880"/>
        </w:tabs>
        <w:ind w:left="2880" w:hanging="360"/>
      </w:pPr>
    </w:lvl>
    <w:lvl w:ilvl="4" w:tplc="FEB88402" w:tentative="1">
      <w:start w:val="1"/>
      <w:numFmt w:val="decimal"/>
      <w:lvlText w:val="%5."/>
      <w:lvlJc w:val="left"/>
      <w:pPr>
        <w:tabs>
          <w:tab w:val="num" w:pos="3600"/>
        </w:tabs>
        <w:ind w:left="3600" w:hanging="360"/>
      </w:pPr>
    </w:lvl>
    <w:lvl w:ilvl="5" w:tplc="CD1AE004" w:tentative="1">
      <w:start w:val="1"/>
      <w:numFmt w:val="decimal"/>
      <w:lvlText w:val="%6."/>
      <w:lvlJc w:val="left"/>
      <w:pPr>
        <w:tabs>
          <w:tab w:val="num" w:pos="4320"/>
        </w:tabs>
        <w:ind w:left="4320" w:hanging="360"/>
      </w:pPr>
    </w:lvl>
    <w:lvl w:ilvl="6" w:tplc="8F5A166C" w:tentative="1">
      <w:start w:val="1"/>
      <w:numFmt w:val="decimal"/>
      <w:lvlText w:val="%7."/>
      <w:lvlJc w:val="left"/>
      <w:pPr>
        <w:tabs>
          <w:tab w:val="num" w:pos="5040"/>
        </w:tabs>
        <w:ind w:left="5040" w:hanging="360"/>
      </w:pPr>
    </w:lvl>
    <w:lvl w:ilvl="7" w:tplc="70C24DEA" w:tentative="1">
      <w:start w:val="1"/>
      <w:numFmt w:val="decimal"/>
      <w:lvlText w:val="%8."/>
      <w:lvlJc w:val="left"/>
      <w:pPr>
        <w:tabs>
          <w:tab w:val="num" w:pos="5760"/>
        </w:tabs>
        <w:ind w:left="5760" w:hanging="360"/>
      </w:pPr>
    </w:lvl>
    <w:lvl w:ilvl="8" w:tplc="7E1C61C4"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6D9"/>
    <w:rsid w:val="000D0ECD"/>
    <w:rsid w:val="001D28A4"/>
    <w:rsid w:val="001E42CA"/>
    <w:rsid w:val="002F26A2"/>
    <w:rsid w:val="00434AA1"/>
    <w:rsid w:val="004A52EA"/>
    <w:rsid w:val="004C0EE2"/>
    <w:rsid w:val="00536D84"/>
    <w:rsid w:val="00580F1D"/>
    <w:rsid w:val="008115DA"/>
    <w:rsid w:val="00A34733"/>
    <w:rsid w:val="00A71389"/>
    <w:rsid w:val="00D1298A"/>
    <w:rsid w:val="00D70C88"/>
    <w:rsid w:val="00EF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5DA"/>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5D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9587">
      <w:bodyDiv w:val="1"/>
      <w:marLeft w:val="0"/>
      <w:marRight w:val="0"/>
      <w:marTop w:val="0"/>
      <w:marBottom w:val="0"/>
      <w:divBdr>
        <w:top w:val="none" w:sz="0" w:space="0" w:color="auto"/>
        <w:left w:val="none" w:sz="0" w:space="0" w:color="auto"/>
        <w:bottom w:val="none" w:sz="0" w:space="0" w:color="auto"/>
        <w:right w:val="none" w:sz="0" w:space="0" w:color="auto"/>
      </w:divBdr>
    </w:div>
    <w:div w:id="69934252">
      <w:bodyDiv w:val="1"/>
      <w:marLeft w:val="0"/>
      <w:marRight w:val="0"/>
      <w:marTop w:val="0"/>
      <w:marBottom w:val="0"/>
      <w:divBdr>
        <w:top w:val="none" w:sz="0" w:space="0" w:color="auto"/>
        <w:left w:val="none" w:sz="0" w:space="0" w:color="auto"/>
        <w:bottom w:val="none" w:sz="0" w:space="0" w:color="auto"/>
        <w:right w:val="none" w:sz="0" w:space="0" w:color="auto"/>
      </w:divBdr>
    </w:div>
    <w:div w:id="138305770">
      <w:bodyDiv w:val="1"/>
      <w:marLeft w:val="0"/>
      <w:marRight w:val="0"/>
      <w:marTop w:val="0"/>
      <w:marBottom w:val="0"/>
      <w:divBdr>
        <w:top w:val="none" w:sz="0" w:space="0" w:color="auto"/>
        <w:left w:val="none" w:sz="0" w:space="0" w:color="auto"/>
        <w:bottom w:val="none" w:sz="0" w:space="0" w:color="auto"/>
        <w:right w:val="none" w:sz="0" w:space="0" w:color="auto"/>
      </w:divBdr>
    </w:div>
    <w:div w:id="251620874">
      <w:bodyDiv w:val="1"/>
      <w:marLeft w:val="0"/>
      <w:marRight w:val="0"/>
      <w:marTop w:val="0"/>
      <w:marBottom w:val="0"/>
      <w:divBdr>
        <w:top w:val="none" w:sz="0" w:space="0" w:color="auto"/>
        <w:left w:val="none" w:sz="0" w:space="0" w:color="auto"/>
        <w:bottom w:val="none" w:sz="0" w:space="0" w:color="auto"/>
        <w:right w:val="none" w:sz="0" w:space="0" w:color="auto"/>
      </w:divBdr>
      <w:divsChild>
        <w:div w:id="1883326239">
          <w:marLeft w:val="374"/>
          <w:marRight w:val="0"/>
          <w:marTop w:val="0"/>
          <w:marBottom w:val="0"/>
          <w:divBdr>
            <w:top w:val="none" w:sz="0" w:space="0" w:color="auto"/>
            <w:left w:val="none" w:sz="0" w:space="0" w:color="auto"/>
            <w:bottom w:val="none" w:sz="0" w:space="0" w:color="auto"/>
            <w:right w:val="none" w:sz="0" w:space="0" w:color="auto"/>
          </w:divBdr>
        </w:div>
        <w:div w:id="829832487">
          <w:marLeft w:val="374"/>
          <w:marRight w:val="0"/>
          <w:marTop w:val="0"/>
          <w:marBottom w:val="0"/>
          <w:divBdr>
            <w:top w:val="none" w:sz="0" w:space="0" w:color="auto"/>
            <w:left w:val="none" w:sz="0" w:space="0" w:color="auto"/>
            <w:bottom w:val="none" w:sz="0" w:space="0" w:color="auto"/>
            <w:right w:val="none" w:sz="0" w:space="0" w:color="auto"/>
          </w:divBdr>
        </w:div>
      </w:divsChild>
    </w:div>
    <w:div w:id="314385309">
      <w:bodyDiv w:val="1"/>
      <w:marLeft w:val="0"/>
      <w:marRight w:val="0"/>
      <w:marTop w:val="0"/>
      <w:marBottom w:val="0"/>
      <w:divBdr>
        <w:top w:val="none" w:sz="0" w:space="0" w:color="auto"/>
        <w:left w:val="none" w:sz="0" w:space="0" w:color="auto"/>
        <w:bottom w:val="none" w:sz="0" w:space="0" w:color="auto"/>
        <w:right w:val="none" w:sz="0" w:space="0" w:color="auto"/>
      </w:divBdr>
    </w:div>
    <w:div w:id="605502349">
      <w:bodyDiv w:val="1"/>
      <w:marLeft w:val="0"/>
      <w:marRight w:val="0"/>
      <w:marTop w:val="0"/>
      <w:marBottom w:val="0"/>
      <w:divBdr>
        <w:top w:val="none" w:sz="0" w:space="0" w:color="auto"/>
        <w:left w:val="none" w:sz="0" w:space="0" w:color="auto"/>
        <w:bottom w:val="none" w:sz="0" w:space="0" w:color="auto"/>
        <w:right w:val="none" w:sz="0" w:space="0" w:color="auto"/>
      </w:divBdr>
    </w:div>
    <w:div w:id="663512967">
      <w:bodyDiv w:val="1"/>
      <w:marLeft w:val="0"/>
      <w:marRight w:val="0"/>
      <w:marTop w:val="0"/>
      <w:marBottom w:val="0"/>
      <w:divBdr>
        <w:top w:val="none" w:sz="0" w:space="0" w:color="auto"/>
        <w:left w:val="none" w:sz="0" w:space="0" w:color="auto"/>
        <w:bottom w:val="none" w:sz="0" w:space="0" w:color="auto"/>
        <w:right w:val="none" w:sz="0" w:space="0" w:color="auto"/>
      </w:divBdr>
    </w:div>
    <w:div w:id="753554858">
      <w:bodyDiv w:val="1"/>
      <w:marLeft w:val="0"/>
      <w:marRight w:val="0"/>
      <w:marTop w:val="0"/>
      <w:marBottom w:val="0"/>
      <w:divBdr>
        <w:top w:val="none" w:sz="0" w:space="0" w:color="auto"/>
        <w:left w:val="none" w:sz="0" w:space="0" w:color="auto"/>
        <w:bottom w:val="none" w:sz="0" w:space="0" w:color="auto"/>
        <w:right w:val="none" w:sz="0" w:space="0" w:color="auto"/>
      </w:divBdr>
      <w:divsChild>
        <w:div w:id="163059441">
          <w:marLeft w:val="1080"/>
          <w:marRight w:val="0"/>
          <w:marTop w:val="120"/>
          <w:marBottom w:val="0"/>
          <w:divBdr>
            <w:top w:val="none" w:sz="0" w:space="0" w:color="auto"/>
            <w:left w:val="none" w:sz="0" w:space="0" w:color="auto"/>
            <w:bottom w:val="none" w:sz="0" w:space="0" w:color="auto"/>
            <w:right w:val="none" w:sz="0" w:space="0" w:color="auto"/>
          </w:divBdr>
        </w:div>
      </w:divsChild>
    </w:div>
    <w:div w:id="889225087">
      <w:bodyDiv w:val="1"/>
      <w:marLeft w:val="0"/>
      <w:marRight w:val="0"/>
      <w:marTop w:val="0"/>
      <w:marBottom w:val="0"/>
      <w:divBdr>
        <w:top w:val="none" w:sz="0" w:space="0" w:color="auto"/>
        <w:left w:val="none" w:sz="0" w:space="0" w:color="auto"/>
        <w:bottom w:val="none" w:sz="0" w:space="0" w:color="auto"/>
        <w:right w:val="none" w:sz="0" w:space="0" w:color="auto"/>
      </w:divBdr>
    </w:div>
    <w:div w:id="1292858803">
      <w:bodyDiv w:val="1"/>
      <w:marLeft w:val="0"/>
      <w:marRight w:val="0"/>
      <w:marTop w:val="0"/>
      <w:marBottom w:val="0"/>
      <w:divBdr>
        <w:top w:val="none" w:sz="0" w:space="0" w:color="auto"/>
        <w:left w:val="none" w:sz="0" w:space="0" w:color="auto"/>
        <w:bottom w:val="none" w:sz="0" w:space="0" w:color="auto"/>
        <w:right w:val="none" w:sz="0" w:space="0" w:color="auto"/>
      </w:divBdr>
      <w:divsChild>
        <w:div w:id="251166687">
          <w:marLeft w:val="547"/>
          <w:marRight w:val="0"/>
          <w:marTop w:val="400"/>
          <w:marBottom w:val="0"/>
          <w:divBdr>
            <w:top w:val="none" w:sz="0" w:space="0" w:color="auto"/>
            <w:left w:val="none" w:sz="0" w:space="0" w:color="auto"/>
            <w:bottom w:val="none" w:sz="0" w:space="0" w:color="auto"/>
            <w:right w:val="none" w:sz="0" w:space="0" w:color="auto"/>
          </w:divBdr>
        </w:div>
        <w:div w:id="1843819158">
          <w:marLeft w:val="547"/>
          <w:marRight w:val="0"/>
          <w:marTop w:val="400"/>
          <w:marBottom w:val="0"/>
          <w:divBdr>
            <w:top w:val="none" w:sz="0" w:space="0" w:color="auto"/>
            <w:left w:val="none" w:sz="0" w:space="0" w:color="auto"/>
            <w:bottom w:val="none" w:sz="0" w:space="0" w:color="auto"/>
            <w:right w:val="none" w:sz="0" w:space="0" w:color="auto"/>
          </w:divBdr>
        </w:div>
        <w:div w:id="1478647907">
          <w:marLeft w:val="547"/>
          <w:marRight w:val="0"/>
          <w:marTop w:val="400"/>
          <w:marBottom w:val="0"/>
          <w:divBdr>
            <w:top w:val="none" w:sz="0" w:space="0" w:color="auto"/>
            <w:left w:val="none" w:sz="0" w:space="0" w:color="auto"/>
            <w:bottom w:val="none" w:sz="0" w:space="0" w:color="auto"/>
            <w:right w:val="none" w:sz="0" w:space="0" w:color="auto"/>
          </w:divBdr>
        </w:div>
        <w:div w:id="1210260849">
          <w:marLeft w:val="547"/>
          <w:marRight w:val="0"/>
          <w:marTop w:val="400"/>
          <w:marBottom w:val="0"/>
          <w:divBdr>
            <w:top w:val="none" w:sz="0" w:space="0" w:color="auto"/>
            <w:left w:val="none" w:sz="0" w:space="0" w:color="auto"/>
            <w:bottom w:val="none" w:sz="0" w:space="0" w:color="auto"/>
            <w:right w:val="none" w:sz="0" w:space="0" w:color="auto"/>
          </w:divBdr>
        </w:div>
        <w:div w:id="1676885990">
          <w:marLeft w:val="547"/>
          <w:marRight w:val="0"/>
          <w:marTop w:val="400"/>
          <w:marBottom w:val="0"/>
          <w:divBdr>
            <w:top w:val="none" w:sz="0" w:space="0" w:color="auto"/>
            <w:left w:val="none" w:sz="0" w:space="0" w:color="auto"/>
            <w:bottom w:val="none" w:sz="0" w:space="0" w:color="auto"/>
            <w:right w:val="none" w:sz="0" w:space="0" w:color="auto"/>
          </w:divBdr>
        </w:div>
        <w:div w:id="509029778">
          <w:marLeft w:val="547"/>
          <w:marRight w:val="0"/>
          <w:marTop w:val="400"/>
          <w:marBottom w:val="0"/>
          <w:divBdr>
            <w:top w:val="none" w:sz="0" w:space="0" w:color="auto"/>
            <w:left w:val="none" w:sz="0" w:space="0" w:color="auto"/>
            <w:bottom w:val="none" w:sz="0" w:space="0" w:color="auto"/>
            <w:right w:val="none" w:sz="0" w:space="0" w:color="auto"/>
          </w:divBdr>
        </w:div>
        <w:div w:id="2062246467">
          <w:marLeft w:val="547"/>
          <w:marRight w:val="0"/>
          <w:marTop w:val="400"/>
          <w:marBottom w:val="0"/>
          <w:divBdr>
            <w:top w:val="none" w:sz="0" w:space="0" w:color="auto"/>
            <w:left w:val="none" w:sz="0" w:space="0" w:color="auto"/>
            <w:bottom w:val="none" w:sz="0" w:space="0" w:color="auto"/>
            <w:right w:val="none" w:sz="0" w:space="0" w:color="auto"/>
          </w:divBdr>
        </w:div>
      </w:divsChild>
    </w:div>
    <w:div w:id="1324745117">
      <w:bodyDiv w:val="1"/>
      <w:marLeft w:val="0"/>
      <w:marRight w:val="0"/>
      <w:marTop w:val="0"/>
      <w:marBottom w:val="0"/>
      <w:divBdr>
        <w:top w:val="none" w:sz="0" w:space="0" w:color="auto"/>
        <w:left w:val="none" w:sz="0" w:space="0" w:color="auto"/>
        <w:bottom w:val="none" w:sz="0" w:space="0" w:color="auto"/>
        <w:right w:val="none" w:sz="0" w:space="0" w:color="auto"/>
      </w:divBdr>
    </w:div>
    <w:div w:id="1437600812">
      <w:bodyDiv w:val="1"/>
      <w:marLeft w:val="0"/>
      <w:marRight w:val="0"/>
      <w:marTop w:val="0"/>
      <w:marBottom w:val="0"/>
      <w:divBdr>
        <w:top w:val="none" w:sz="0" w:space="0" w:color="auto"/>
        <w:left w:val="none" w:sz="0" w:space="0" w:color="auto"/>
        <w:bottom w:val="none" w:sz="0" w:space="0" w:color="auto"/>
        <w:right w:val="none" w:sz="0" w:space="0" w:color="auto"/>
      </w:divBdr>
      <w:divsChild>
        <w:div w:id="2065054895">
          <w:marLeft w:val="547"/>
          <w:marRight w:val="0"/>
          <w:marTop w:val="400"/>
          <w:marBottom w:val="0"/>
          <w:divBdr>
            <w:top w:val="none" w:sz="0" w:space="0" w:color="auto"/>
            <w:left w:val="none" w:sz="0" w:space="0" w:color="auto"/>
            <w:bottom w:val="none" w:sz="0" w:space="0" w:color="auto"/>
            <w:right w:val="none" w:sz="0" w:space="0" w:color="auto"/>
          </w:divBdr>
        </w:div>
        <w:div w:id="373580771">
          <w:marLeft w:val="1080"/>
          <w:marRight w:val="0"/>
          <w:marTop w:val="120"/>
          <w:marBottom w:val="0"/>
          <w:divBdr>
            <w:top w:val="none" w:sz="0" w:space="0" w:color="auto"/>
            <w:left w:val="none" w:sz="0" w:space="0" w:color="auto"/>
            <w:bottom w:val="none" w:sz="0" w:space="0" w:color="auto"/>
            <w:right w:val="none" w:sz="0" w:space="0" w:color="auto"/>
          </w:divBdr>
        </w:div>
        <w:div w:id="1881236103">
          <w:marLeft w:val="1080"/>
          <w:marRight w:val="0"/>
          <w:marTop w:val="120"/>
          <w:marBottom w:val="0"/>
          <w:divBdr>
            <w:top w:val="none" w:sz="0" w:space="0" w:color="auto"/>
            <w:left w:val="none" w:sz="0" w:space="0" w:color="auto"/>
            <w:bottom w:val="none" w:sz="0" w:space="0" w:color="auto"/>
            <w:right w:val="none" w:sz="0" w:space="0" w:color="auto"/>
          </w:divBdr>
        </w:div>
        <w:div w:id="1317341420">
          <w:marLeft w:val="1080"/>
          <w:marRight w:val="0"/>
          <w:marTop w:val="120"/>
          <w:marBottom w:val="0"/>
          <w:divBdr>
            <w:top w:val="none" w:sz="0" w:space="0" w:color="auto"/>
            <w:left w:val="none" w:sz="0" w:space="0" w:color="auto"/>
            <w:bottom w:val="none" w:sz="0" w:space="0" w:color="auto"/>
            <w:right w:val="none" w:sz="0" w:space="0" w:color="auto"/>
          </w:divBdr>
        </w:div>
        <w:div w:id="201402212">
          <w:marLeft w:val="547"/>
          <w:marRight w:val="0"/>
          <w:marTop w:val="400"/>
          <w:marBottom w:val="0"/>
          <w:divBdr>
            <w:top w:val="none" w:sz="0" w:space="0" w:color="auto"/>
            <w:left w:val="none" w:sz="0" w:space="0" w:color="auto"/>
            <w:bottom w:val="none" w:sz="0" w:space="0" w:color="auto"/>
            <w:right w:val="none" w:sz="0" w:space="0" w:color="auto"/>
          </w:divBdr>
        </w:div>
        <w:div w:id="534465849">
          <w:marLeft w:val="1080"/>
          <w:marRight w:val="0"/>
          <w:marTop w:val="120"/>
          <w:marBottom w:val="0"/>
          <w:divBdr>
            <w:top w:val="none" w:sz="0" w:space="0" w:color="auto"/>
            <w:left w:val="none" w:sz="0" w:space="0" w:color="auto"/>
            <w:bottom w:val="none" w:sz="0" w:space="0" w:color="auto"/>
            <w:right w:val="none" w:sz="0" w:space="0" w:color="auto"/>
          </w:divBdr>
        </w:div>
        <w:div w:id="1107509579">
          <w:marLeft w:val="1080"/>
          <w:marRight w:val="0"/>
          <w:marTop w:val="120"/>
          <w:marBottom w:val="0"/>
          <w:divBdr>
            <w:top w:val="none" w:sz="0" w:space="0" w:color="auto"/>
            <w:left w:val="none" w:sz="0" w:space="0" w:color="auto"/>
            <w:bottom w:val="none" w:sz="0" w:space="0" w:color="auto"/>
            <w:right w:val="none" w:sz="0" w:space="0" w:color="auto"/>
          </w:divBdr>
        </w:div>
        <w:div w:id="515970779">
          <w:marLeft w:val="1080"/>
          <w:marRight w:val="0"/>
          <w:marTop w:val="120"/>
          <w:marBottom w:val="0"/>
          <w:divBdr>
            <w:top w:val="none" w:sz="0" w:space="0" w:color="auto"/>
            <w:left w:val="none" w:sz="0" w:space="0" w:color="auto"/>
            <w:bottom w:val="none" w:sz="0" w:space="0" w:color="auto"/>
            <w:right w:val="none" w:sz="0" w:space="0" w:color="auto"/>
          </w:divBdr>
        </w:div>
      </w:divsChild>
    </w:div>
    <w:div w:id="166169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SSO KM User</dc:creator>
  <cp:keywords/>
  <dc:description/>
  <cp:lastModifiedBy>SSO KM User</cp:lastModifiedBy>
  <cp:revision>5</cp:revision>
  <dcterms:created xsi:type="dcterms:W3CDTF">2015-01-19T15:57:00Z</dcterms:created>
  <dcterms:modified xsi:type="dcterms:W3CDTF">2015-01-19T18:00:00Z</dcterms:modified>
</cp:coreProperties>
</file>