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6DED1D" w14:textId="77777777" w:rsidR="00655BA4" w:rsidRDefault="000C627D" w:rsidP="000C627D">
      <w:pPr>
        <w:jc w:val="center"/>
      </w:pPr>
      <w:r w:rsidRPr="000C627D">
        <w:t>Predictors and Incidence of Biphasic Reactions in anaphylaxis: Potential influence on observation time in the ED and inpatient ward</w:t>
      </w:r>
    </w:p>
    <w:p w14:paraId="522E648D" w14:textId="77777777" w:rsidR="000C627D" w:rsidRDefault="000C627D" w:rsidP="000C627D">
      <w:pPr>
        <w:jc w:val="center"/>
      </w:pPr>
    </w:p>
    <w:p w14:paraId="58D44818" w14:textId="77777777" w:rsidR="000C627D" w:rsidRDefault="000C627D" w:rsidP="000C627D">
      <w:pPr>
        <w:jc w:val="center"/>
      </w:pPr>
      <w:r>
        <w:t>Noah Jablow, MD</w:t>
      </w:r>
    </w:p>
    <w:p w14:paraId="62DE9683" w14:textId="77777777" w:rsidR="000C627D" w:rsidRDefault="000C627D" w:rsidP="000C627D">
      <w:pPr>
        <w:jc w:val="center"/>
      </w:pPr>
      <w:r>
        <w:t>11/11/2014</w:t>
      </w:r>
    </w:p>
    <w:p w14:paraId="1040F89C" w14:textId="77777777" w:rsidR="000C627D" w:rsidRDefault="000C627D" w:rsidP="000C627D"/>
    <w:p w14:paraId="278E240F" w14:textId="77777777" w:rsidR="000C627D" w:rsidRDefault="000C627D" w:rsidP="000C627D">
      <w:r>
        <w:tab/>
        <w:t>Anaphylaxis is a severe, potentially fatal, systemic allergic reaction that occurs suddenly after contact with an allergy-causing substance.  Initial symptoms may be managed at home, in an emergency department or on an inpatient hospital ward.  In a reported 1-20% of patients, a biphasic reaction may be observed which consists of a recurrence of anaphylactic symptoms after an initial remission has been established.  This biphasic reaction has been noted within 1-72 hours following initial resolution of anaphylaxis.</w:t>
      </w:r>
      <w:r w:rsidR="002E18D0">
        <w:t xml:space="preserve">  Management most often includes administration of epinephrine and may also include corticosteroids, H2 blocking medications and/or beta agonists.</w:t>
      </w:r>
      <w:r w:rsidR="00467E23">
        <w:t xml:space="preserve">  There are currently no clear guidelines on how long a patient should be observed following anaphylactic symptoms in the emergency room setting prior to a decision being made as to whether the patient must be admitted for observation or discharged home.  If specific identifying factors could be established in relation to the initial presentation and management of anaphylaxis, a clearer recommendation may then be possible regard</w:t>
      </w:r>
      <w:r w:rsidR="002E18D0">
        <w:t>ing the disposition of these patients.</w:t>
      </w:r>
    </w:p>
    <w:p w14:paraId="130A0D72" w14:textId="77777777" w:rsidR="002E18D0" w:rsidRDefault="002E18D0" w:rsidP="000C627D"/>
    <w:p w14:paraId="03B29886" w14:textId="72678884" w:rsidR="002E18D0" w:rsidRDefault="002E18D0" w:rsidP="000C627D">
      <w:r>
        <w:tab/>
        <w:t>A question was formally developed asking “Which factors pertaining to initial presentation and management</w:t>
      </w:r>
      <w:r w:rsidR="00C2037E">
        <w:t xml:space="preserve"> of anaphylaxis can be used as predictors of those patient </w:t>
      </w:r>
      <w:r w:rsidR="00E43715">
        <w:t>w</w:t>
      </w:r>
      <w:r w:rsidR="00C2037E">
        <w:t xml:space="preserve">ho are more likely to have biphasic reactions?”  Using PubMed </w:t>
      </w:r>
      <w:proofErr w:type="spellStart"/>
      <w:r w:rsidR="00C2037E">
        <w:t>MeSH</w:t>
      </w:r>
      <w:proofErr w:type="spellEnd"/>
      <w:r w:rsidR="00C2037E">
        <w:t xml:space="preserve"> and the Cochrane Library, a literature search was conducted </w:t>
      </w:r>
      <w:r w:rsidR="00615922">
        <w:t>with</w:t>
      </w:r>
      <w:r w:rsidR="00C2037E">
        <w:t xml:space="preserve"> the terms “anaphylaxis”, “biphasic reaction” and “predictor”.  Four articles were selected as appropriately matching the search criteria</w:t>
      </w:r>
      <w:r w:rsidR="00F40D24">
        <w:t>.  Three articles were retrospective chart reviews while the fourth was a prospective study.</w:t>
      </w:r>
    </w:p>
    <w:p w14:paraId="7591F271" w14:textId="77777777" w:rsidR="00F40D24" w:rsidRDefault="00F40D24" w:rsidP="000C627D"/>
    <w:p w14:paraId="7B0EC7DE" w14:textId="07126E92" w:rsidR="00F40D24" w:rsidRDefault="00F40D24" w:rsidP="000C627D">
      <w:r>
        <w:tab/>
        <w:t>Incidence of biphasic reaction ranged from 1-19% among the four selected studies.  No clear consensus was reached among the studies regarding predictive factors of biphasic reactions.   In specific studies, statistical significance was associated in predictive value for corticosteroid administration during initial management</w:t>
      </w:r>
      <w:r w:rsidR="00E276CB" w:rsidRPr="00E276CB">
        <w:rPr>
          <w:vertAlign w:val="superscript"/>
        </w:rPr>
        <w:t>5</w:t>
      </w:r>
      <w:r>
        <w:t xml:space="preserve">, </w:t>
      </w:r>
      <w:r w:rsidR="00185FC9">
        <w:t>receiving &gt;1 dose of epinephrine</w:t>
      </w:r>
      <w:r w:rsidR="00E276CB">
        <w:rPr>
          <w:sz w:val="22"/>
          <w:vertAlign w:val="superscript"/>
        </w:rPr>
        <w:t>3</w:t>
      </w:r>
      <w:r w:rsidR="00185FC9">
        <w:t>,</w:t>
      </w:r>
      <w:r w:rsidR="00E276CB">
        <w:t xml:space="preserve"> a smaller dose of administered epinephrine</w:t>
      </w:r>
      <w:bookmarkStart w:id="0" w:name="_GoBack"/>
      <w:r w:rsidR="00E276CB" w:rsidRPr="00E276CB">
        <w:rPr>
          <w:vertAlign w:val="superscript"/>
        </w:rPr>
        <w:t>6</w:t>
      </w:r>
      <w:bookmarkEnd w:id="0"/>
      <w:r w:rsidR="00E276CB">
        <w:t>,</w:t>
      </w:r>
      <w:r w:rsidR="00185FC9">
        <w:t xml:space="preserve"> receiving fluids</w:t>
      </w:r>
      <w:r w:rsidR="00E276CB">
        <w:rPr>
          <w:sz w:val="22"/>
          <w:vertAlign w:val="superscript"/>
        </w:rPr>
        <w:t>3</w:t>
      </w:r>
      <w:r w:rsidR="00185FC9">
        <w:t>, and with a longer time span between symptoms and initial dose of epinephrine</w:t>
      </w:r>
      <w:r w:rsidR="00E276CB" w:rsidRPr="00996B7E">
        <w:rPr>
          <w:sz w:val="22"/>
          <w:vertAlign w:val="superscript"/>
        </w:rPr>
        <w:t>4</w:t>
      </w:r>
      <w:r w:rsidR="00185FC9">
        <w:t>.  The studies failed to show similar results amongst themselves</w:t>
      </w:r>
      <w:r w:rsidR="00681EB8">
        <w:t>,</w:t>
      </w:r>
      <w:r w:rsidR="00185FC9">
        <w:t xml:space="preserve"> which may have been secondary to study power.  </w:t>
      </w:r>
      <w:r w:rsidR="00681EB8">
        <w:t xml:space="preserve"> Further prospective studies may be more likely to achieve stronger statistically significant results and help in determining observation time and disposition recommendations for patients with anaphylaxis.</w:t>
      </w:r>
    </w:p>
    <w:p w14:paraId="0116825E" w14:textId="77777777" w:rsidR="00681EB8" w:rsidRDefault="00681EB8" w:rsidP="000C627D"/>
    <w:p w14:paraId="57940738" w14:textId="77777777" w:rsidR="00681EB8" w:rsidRDefault="00681EB8" w:rsidP="000C627D">
      <w:r>
        <w:t>References:</w:t>
      </w:r>
    </w:p>
    <w:p w14:paraId="64E5DC97" w14:textId="77777777" w:rsidR="00195CF3" w:rsidRPr="00681EB8" w:rsidRDefault="001C018C" w:rsidP="00681EB8">
      <w:pPr>
        <w:numPr>
          <w:ilvl w:val="0"/>
          <w:numId w:val="2"/>
        </w:numPr>
      </w:pPr>
      <w:r w:rsidRPr="00681EB8">
        <w:t xml:space="preserve">Sampson, H. A., Munoz-Furlong, BA et al. (2006). Second Symposium on the definition and management of anaphylaxis: Summary report – Second National Institute of Allergy and Infectious Disease/Food Allergy and </w:t>
      </w:r>
      <w:r w:rsidRPr="00681EB8">
        <w:lastRenderedPageBreak/>
        <w:t xml:space="preserve">Anaphylaxis Network symposium. </w:t>
      </w:r>
      <w:r w:rsidRPr="00681EB8">
        <w:rPr>
          <w:i/>
          <w:iCs/>
        </w:rPr>
        <w:t>Journal of Allergy and Clinical Immunology, 117:391-7</w:t>
      </w:r>
    </w:p>
    <w:p w14:paraId="614C6BB7" w14:textId="77777777" w:rsidR="00195CF3" w:rsidRPr="00681EB8" w:rsidRDefault="001C018C" w:rsidP="00681EB8">
      <w:pPr>
        <w:numPr>
          <w:ilvl w:val="0"/>
          <w:numId w:val="2"/>
        </w:numPr>
      </w:pPr>
      <w:r w:rsidRPr="00681EB8">
        <w:t xml:space="preserve">Kemp, S. (2008). The post-anaphylaxis dilemma: How long is long enough to observe a patient after resolution of symptoms? </w:t>
      </w:r>
      <w:r w:rsidRPr="00681EB8">
        <w:rPr>
          <w:i/>
          <w:iCs/>
        </w:rPr>
        <w:t>Current Allergy and Asthma Reports,</w:t>
      </w:r>
      <w:r w:rsidRPr="00681EB8">
        <w:t xml:space="preserve"> 8:45-48</w:t>
      </w:r>
    </w:p>
    <w:p w14:paraId="4BCD23AC" w14:textId="77777777" w:rsidR="00195CF3" w:rsidRPr="00681EB8" w:rsidRDefault="001C018C" w:rsidP="00681EB8">
      <w:pPr>
        <w:numPr>
          <w:ilvl w:val="0"/>
          <w:numId w:val="2"/>
        </w:numPr>
      </w:pPr>
      <w:proofErr w:type="spellStart"/>
      <w:r w:rsidRPr="00681EB8">
        <w:t>Mehr</w:t>
      </w:r>
      <w:proofErr w:type="spellEnd"/>
      <w:r w:rsidRPr="00681EB8">
        <w:t xml:space="preserve">, S., </w:t>
      </w:r>
      <w:proofErr w:type="spellStart"/>
      <w:r w:rsidRPr="00681EB8">
        <w:t>Liew</w:t>
      </w:r>
      <w:proofErr w:type="spellEnd"/>
      <w:r w:rsidRPr="00681EB8">
        <w:t xml:space="preserve">, W. K., </w:t>
      </w:r>
      <w:proofErr w:type="spellStart"/>
      <w:r w:rsidRPr="00681EB8">
        <w:t>Tey</w:t>
      </w:r>
      <w:proofErr w:type="spellEnd"/>
      <w:r w:rsidRPr="00681EB8">
        <w:t xml:space="preserve">, D., &amp; Tang, M. L. K. (2009). Clinical predictors for biphasic reactions in children presenting with anaphylaxis. </w:t>
      </w:r>
      <w:r w:rsidRPr="00681EB8">
        <w:rPr>
          <w:i/>
          <w:iCs/>
        </w:rPr>
        <w:t>Clinical and Experimental Allergy, 39, 1390-1396</w:t>
      </w:r>
    </w:p>
    <w:p w14:paraId="17DE4F4F" w14:textId="77777777" w:rsidR="00195CF3" w:rsidRPr="00681EB8" w:rsidRDefault="001C018C" w:rsidP="00681EB8">
      <w:pPr>
        <w:numPr>
          <w:ilvl w:val="0"/>
          <w:numId w:val="2"/>
        </w:numPr>
      </w:pPr>
      <w:r w:rsidRPr="00681EB8">
        <w:t xml:space="preserve">Lee, J. M., &amp; </w:t>
      </w:r>
      <w:proofErr w:type="spellStart"/>
      <w:r w:rsidRPr="00681EB8">
        <w:t>Greenes</w:t>
      </w:r>
      <w:proofErr w:type="spellEnd"/>
      <w:r w:rsidRPr="00681EB8">
        <w:t xml:space="preserve">, D. S. (2000). Biphasic Anaphylactic Reactions in Pediatrics. </w:t>
      </w:r>
      <w:r w:rsidRPr="00681EB8">
        <w:rPr>
          <w:i/>
          <w:iCs/>
        </w:rPr>
        <w:t xml:space="preserve">Pediatrics, 106(4), </w:t>
      </w:r>
      <w:r w:rsidRPr="00681EB8">
        <w:t>762-766</w:t>
      </w:r>
    </w:p>
    <w:p w14:paraId="46954AA9" w14:textId="655A4170" w:rsidR="00195CF3" w:rsidRPr="00681EB8" w:rsidRDefault="001C018C" w:rsidP="00681EB8">
      <w:pPr>
        <w:numPr>
          <w:ilvl w:val="0"/>
          <w:numId w:val="2"/>
        </w:numPr>
      </w:pPr>
      <w:r>
        <w:t>Lee, J., Garrett, J. P.</w:t>
      </w:r>
      <w:r w:rsidRPr="00681EB8">
        <w:t>D., Brown-</w:t>
      </w:r>
      <w:proofErr w:type="spellStart"/>
      <w:r w:rsidRPr="00681EB8">
        <w:t>Whitehorn</w:t>
      </w:r>
      <w:proofErr w:type="spellEnd"/>
      <w:r w:rsidRPr="00681EB8">
        <w:t xml:space="preserve">, T., &amp; </w:t>
      </w:r>
      <w:proofErr w:type="spellStart"/>
      <w:r w:rsidRPr="00681EB8">
        <w:t>Spergel</w:t>
      </w:r>
      <w:proofErr w:type="spellEnd"/>
      <w:r w:rsidRPr="00681EB8">
        <w:t xml:space="preserve">, J. M. (2013). Biphasic reactions in children undergoing oral food challenges. </w:t>
      </w:r>
      <w:r w:rsidRPr="00681EB8">
        <w:rPr>
          <w:i/>
          <w:iCs/>
        </w:rPr>
        <w:t>Allergy and Asthma Proceedings, 34:220-226</w:t>
      </w:r>
    </w:p>
    <w:p w14:paraId="685E21BD" w14:textId="2C23EC0E" w:rsidR="00195CF3" w:rsidRPr="00681EB8" w:rsidRDefault="001C018C" w:rsidP="00681EB8">
      <w:pPr>
        <w:numPr>
          <w:ilvl w:val="0"/>
          <w:numId w:val="2"/>
        </w:numPr>
      </w:pPr>
      <w:r w:rsidRPr="00681EB8">
        <w:t xml:space="preserve">Ellis, A. K. &amp; Day, J. H. (2007). Incidence and characteristics of biphasic anaphylaxis: a prospective evaluation of 103 patients. </w:t>
      </w:r>
      <w:r w:rsidRPr="00681EB8">
        <w:rPr>
          <w:i/>
          <w:iCs/>
        </w:rPr>
        <w:t>Annals o</w:t>
      </w:r>
      <w:r w:rsidR="000F4C89">
        <w:rPr>
          <w:i/>
          <w:iCs/>
        </w:rPr>
        <w:t xml:space="preserve">f Allergy, Asthma &amp; Immunology </w:t>
      </w:r>
      <w:r w:rsidRPr="00681EB8">
        <w:rPr>
          <w:i/>
          <w:iCs/>
        </w:rPr>
        <w:t>98:64-69</w:t>
      </w:r>
    </w:p>
    <w:p w14:paraId="7E414286" w14:textId="77777777" w:rsidR="00195CF3" w:rsidRPr="00681EB8" w:rsidRDefault="001C018C" w:rsidP="00681EB8">
      <w:pPr>
        <w:numPr>
          <w:ilvl w:val="0"/>
          <w:numId w:val="2"/>
        </w:numPr>
      </w:pPr>
      <w:r w:rsidRPr="00681EB8">
        <w:t xml:space="preserve">Russell, S., Monroe, K., </w:t>
      </w:r>
      <w:proofErr w:type="spellStart"/>
      <w:r w:rsidRPr="00681EB8">
        <w:t>Losek</w:t>
      </w:r>
      <w:proofErr w:type="spellEnd"/>
      <w:r w:rsidRPr="00681EB8">
        <w:t xml:space="preserve">, J. (2010). Anaphylaxis Management in the Pediatric Emergency Department, Opportunities for Improvement. </w:t>
      </w:r>
      <w:r w:rsidRPr="00681EB8">
        <w:rPr>
          <w:i/>
          <w:iCs/>
        </w:rPr>
        <w:t>Pediatric Emergency Care</w:t>
      </w:r>
      <w:r w:rsidRPr="00681EB8">
        <w:t>, 26:71-76</w:t>
      </w:r>
    </w:p>
    <w:p w14:paraId="28A1F9FB" w14:textId="77777777" w:rsidR="00681EB8" w:rsidRDefault="00681EB8" w:rsidP="000C627D"/>
    <w:p w14:paraId="68FFC9DA" w14:textId="77777777" w:rsidR="002E18D0" w:rsidRDefault="002E18D0" w:rsidP="000C627D"/>
    <w:p w14:paraId="37EFAED3" w14:textId="77777777" w:rsidR="002E18D0" w:rsidRDefault="002E18D0" w:rsidP="000C627D">
      <w:r>
        <w:tab/>
      </w:r>
    </w:p>
    <w:p w14:paraId="0112AD72" w14:textId="77777777" w:rsidR="000C627D" w:rsidRDefault="000C627D" w:rsidP="000C627D"/>
    <w:p w14:paraId="4494AB42" w14:textId="77777777" w:rsidR="000C627D" w:rsidRDefault="000C627D" w:rsidP="000C627D"/>
    <w:sectPr w:rsidR="000C627D" w:rsidSect="00655BA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04755"/>
    <w:multiLevelType w:val="hybridMultilevel"/>
    <w:tmpl w:val="A24E141A"/>
    <w:lvl w:ilvl="0" w:tplc="91A63A76">
      <w:start w:val="1"/>
      <w:numFmt w:val="decimal"/>
      <w:lvlText w:val="%1)"/>
      <w:lvlJc w:val="left"/>
      <w:pPr>
        <w:tabs>
          <w:tab w:val="num" w:pos="720"/>
        </w:tabs>
        <w:ind w:left="720" w:hanging="360"/>
      </w:pPr>
    </w:lvl>
    <w:lvl w:ilvl="1" w:tplc="1D745EF4" w:tentative="1">
      <w:start w:val="1"/>
      <w:numFmt w:val="decimal"/>
      <w:lvlText w:val="%2)"/>
      <w:lvlJc w:val="left"/>
      <w:pPr>
        <w:tabs>
          <w:tab w:val="num" w:pos="1440"/>
        </w:tabs>
        <w:ind w:left="1440" w:hanging="360"/>
      </w:pPr>
    </w:lvl>
    <w:lvl w:ilvl="2" w:tplc="40E0210A" w:tentative="1">
      <w:start w:val="1"/>
      <w:numFmt w:val="decimal"/>
      <w:lvlText w:val="%3)"/>
      <w:lvlJc w:val="left"/>
      <w:pPr>
        <w:tabs>
          <w:tab w:val="num" w:pos="2160"/>
        </w:tabs>
        <w:ind w:left="2160" w:hanging="360"/>
      </w:pPr>
    </w:lvl>
    <w:lvl w:ilvl="3" w:tplc="E612C374" w:tentative="1">
      <w:start w:val="1"/>
      <w:numFmt w:val="decimal"/>
      <w:lvlText w:val="%4)"/>
      <w:lvlJc w:val="left"/>
      <w:pPr>
        <w:tabs>
          <w:tab w:val="num" w:pos="2880"/>
        </w:tabs>
        <w:ind w:left="2880" w:hanging="360"/>
      </w:pPr>
    </w:lvl>
    <w:lvl w:ilvl="4" w:tplc="BB8A52A4" w:tentative="1">
      <w:start w:val="1"/>
      <w:numFmt w:val="decimal"/>
      <w:lvlText w:val="%5)"/>
      <w:lvlJc w:val="left"/>
      <w:pPr>
        <w:tabs>
          <w:tab w:val="num" w:pos="3600"/>
        </w:tabs>
        <w:ind w:left="3600" w:hanging="360"/>
      </w:pPr>
    </w:lvl>
    <w:lvl w:ilvl="5" w:tplc="DAC095FC" w:tentative="1">
      <w:start w:val="1"/>
      <w:numFmt w:val="decimal"/>
      <w:lvlText w:val="%6)"/>
      <w:lvlJc w:val="left"/>
      <w:pPr>
        <w:tabs>
          <w:tab w:val="num" w:pos="4320"/>
        </w:tabs>
        <w:ind w:left="4320" w:hanging="360"/>
      </w:pPr>
    </w:lvl>
    <w:lvl w:ilvl="6" w:tplc="5EFEB222" w:tentative="1">
      <w:start w:val="1"/>
      <w:numFmt w:val="decimal"/>
      <w:lvlText w:val="%7)"/>
      <w:lvlJc w:val="left"/>
      <w:pPr>
        <w:tabs>
          <w:tab w:val="num" w:pos="5040"/>
        </w:tabs>
        <w:ind w:left="5040" w:hanging="360"/>
      </w:pPr>
    </w:lvl>
    <w:lvl w:ilvl="7" w:tplc="6E54F650" w:tentative="1">
      <w:start w:val="1"/>
      <w:numFmt w:val="decimal"/>
      <w:lvlText w:val="%8)"/>
      <w:lvlJc w:val="left"/>
      <w:pPr>
        <w:tabs>
          <w:tab w:val="num" w:pos="5760"/>
        </w:tabs>
        <w:ind w:left="5760" w:hanging="360"/>
      </w:pPr>
    </w:lvl>
    <w:lvl w:ilvl="8" w:tplc="2196C6C0" w:tentative="1">
      <w:start w:val="1"/>
      <w:numFmt w:val="decimal"/>
      <w:lvlText w:val="%9)"/>
      <w:lvlJc w:val="left"/>
      <w:pPr>
        <w:tabs>
          <w:tab w:val="num" w:pos="6480"/>
        </w:tabs>
        <w:ind w:left="6480" w:hanging="360"/>
      </w:pPr>
    </w:lvl>
  </w:abstractNum>
  <w:abstractNum w:abstractNumId="1">
    <w:nsid w:val="700E18D7"/>
    <w:multiLevelType w:val="hybridMultilevel"/>
    <w:tmpl w:val="4DBA3DA8"/>
    <w:lvl w:ilvl="0" w:tplc="B7F0244E">
      <w:start w:val="1"/>
      <w:numFmt w:val="bullet"/>
      <w:lvlText w:val="•"/>
      <w:lvlJc w:val="left"/>
      <w:pPr>
        <w:tabs>
          <w:tab w:val="num" w:pos="720"/>
        </w:tabs>
        <w:ind w:left="720" w:hanging="360"/>
      </w:pPr>
      <w:rPr>
        <w:rFonts w:ascii="Arial" w:hAnsi="Arial" w:hint="default"/>
      </w:rPr>
    </w:lvl>
    <w:lvl w:ilvl="1" w:tplc="1A7422A2">
      <w:start w:val="-16377"/>
      <w:numFmt w:val="bullet"/>
      <w:lvlText w:val="•"/>
      <w:lvlJc w:val="left"/>
      <w:pPr>
        <w:tabs>
          <w:tab w:val="num" w:pos="1440"/>
        </w:tabs>
        <w:ind w:left="1440" w:hanging="360"/>
      </w:pPr>
      <w:rPr>
        <w:rFonts w:ascii="Arial" w:hAnsi="Arial" w:hint="default"/>
      </w:rPr>
    </w:lvl>
    <w:lvl w:ilvl="2" w:tplc="1EB4674C" w:tentative="1">
      <w:start w:val="1"/>
      <w:numFmt w:val="bullet"/>
      <w:lvlText w:val="•"/>
      <w:lvlJc w:val="left"/>
      <w:pPr>
        <w:tabs>
          <w:tab w:val="num" w:pos="2160"/>
        </w:tabs>
        <w:ind w:left="2160" w:hanging="360"/>
      </w:pPr>
      <w:rPr>
        <w:rFonts w:ascii="Arial" w:hAnsi="Arial" w:hint="default"/>
      </w:rPr>
    </w:lvl>
    <w:lvl w:ilvl="3" w:tplc="5004FDFE" w:tentative="1">
      <w:start w:val="1"/>
      <w:numFmt w:val="bullet"/>
      <w:lvlText w:val="•"/>
      <w:lvlJc w:val="left"/>
      <w:pPr>
        <w:tabs>
          <w:tab w:val="num" w:pos="2880"/>
        </w:tabs>
        <w:ind w:left="2880" w:hanging="360"/>
      </w:pPr>
      <w:rPr>
        <w:rFonts w:ascii="Arial" w:hAnsi="Arial" w:hint="default"/>
      </w:rPr>
    </w:lvl>
    <w:lvl w:ilvl="4" w:tplc="A6FCC00A" w:tentative="1">
      <w:start w:val="1"/>
      <w:numFmt w:val="bullet"/>
      <w:lvlText w:val="•"/>
      <w:lvlJc w:val="left"/>
      <w:pPr>
        <w:tabs>
          <w:tab w:val="num" w:pos="3600"/>
        </w:tabs>
        <w:ind w:left="3600" w:hanging="360"/>
      </w:pPr>
      <w:rPr>
        <w:rFonts w:ascii="Arial" w:hAnsi="Arial" w:hint="default"/>
      </w:rPr>
    </w:lvl>
    <w:lvl w:ilvl="5" w:tplc="CF38549E" w:tentative="1">
      <w:start w:val="1"/>
      <w:numFmt w:val="bullet"/>
      <w:lvlText w:val="•"/>
      <w:lvlJc w:val="left"/>
      <w:pPr>
        <w:tabs>
          <w:tab w:val="num" w:pos="4320"/>
        </w:tabs>
        <w:ind w:left="4320" w:hanging="360"/>
      </w:pPr>
      <w:rPr>
        <w:rFonts w:ascii="Arial" w:hAnsi="Arial" w:hint="default"/>
      </w:rPr>
    </w:lvl>
    <w:lvl w:ilvl="6" w:tplc="85EE9204" w:tentative="1">
      <w:start w:val="1"/>
      <w:numFmt w:val="bullet"/>
      <w:lvlText w:val="•"/>
      <w:lvlJc w:val="left"/>
      <w:pPr>
        <w:tabs>
          <w:tab w:val="num" w:pos="5040"/>
        </w:tabs>
        <w:ind w:left="5040" w:hanging="360"/>
      </w:pPr>
      <w:rPr>
        <w:rFonts w:ascii="Arial" w:hAnsi="Arial" w:hint="default"/>
      </w:rPr>
    </w:lvl>
    <w:lvl w:ilvl="7" w:tplc="182EEB0A" w:tentative="1">
      <w:start w:val="1"/>
      <w:numFmt w:val="bullet"/>
      <w:lvlText w:val="•"/>
      <w:lvlJc w:val="left"/>
      <w:pPr>
        <w:tabs>
          <w:tab w:val="num" w:pos="5760"/>
        </w:tabs>
        <w:ind w:left="5760" w:hanging="360"/>
      </w:pPr>
      <w:rPr>
        <w:rFonts w:ascii="Arial" w:hAnsi="Arial" w:hint="default"/>
      </w:rPr>
    </w:lvl>
    <w:lvl w:ilvl="8" w:tplc="7D6630C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27D"/>
    <w:rsid w:val="000C627D"/>
    <w:rsid w:val="000F4C89"/>
    <w:rsid w:val="00185FC9"/>
    <w:rsid w:val="00195CF3"/>
    <w:rsid w:val="001C018C"/>
    <w:rsid w:val="002E18D0"/>
    <w:rsid w:val="00467E23"/>
    <w:rsid w:val="00615922"/>
    <w:rsid w:val="00655BA4"/>
    <w:rsid w:val="00681EB8"/>
    <w:rsid w:val="00996B7E"/>
    <w:rsid w:val="00C2037E"/>
    <w:rsid w:val="00E276CB"/>
    <w:rsid w:val="00E43715"/>
    <w:rsid w:val="00F40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8ABC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287401">
      <w:bodyDiv w:val="1"/>
      <w:marLeft w:val="0"/>
      <w:marRight w:val="0"/>
      <w:marTop w:val="0"/>
      <w:marBottom w:val="0"/>
      <w:divBdr>
        <w:top w:val="none" w:sz="0" w:space="0" w:color="auto"/>
        <w:left w:val="none" w:sz="0" w:space="0" w:color="auto"/>
        <w:bottom w:val="none" w:sz="0" w:space="0" w:color="auto"/>
        <w:right w:val="none" w:sz="0" w:space="0" w:color="auto"/>
      </w:divBdr>
      <w:divsChild>
        <w:div w:id="818688950">
          <w:marLeft w:val="288"/>
          <w:marRight w:val="0"/>
          <w:marTop w:val="115"/>
          <w:marBottom w:val="0"/>
          <w:divBdr>
            <w:top w:val="none" w:sz="0" w:space="0" w:color="auto"/>
            <w:left w:val="none" w:sz="0" w:space="0" w:color="auto"/>
            <w:bottom w:val="none" w:sz="0" w:space="0" w:color="auto"/>
            <w:right w:val="none" w:sz="0" w:space="0" w:color="auto"/>
          </w:divBdr>
        </w:div>
        <w:div w:id="1838498300">
          <w:marLeft w:val="720"/>
          <w:marRight w:val="0"/>
          <w:marTop w:val="96"/>
          <w:marBottom w:val="0"/>
          <w:divBdr>
            <w:top w:val="none" w:sz="0" w:space="0" w:color="auto"/>
            <w:left w:val="none" w:sz="0" w:space="0" w:color="auto"/>
            <w:bottom w:val="none" w:sz="0" w:space="0" w:color="auto"/>
            <w:right w:val="none" w:sz="0" w:space="0" w:color="auto"/>
          </w:divBdr>
        </w:div>
        <w:div w:id="1902666853">
          <w:marLeft w:val="288"/>
          <w:marRight w:val="0"/>
          <w:marTop w:val="115"/>
          <w:marBottom w:val="0"/>
          <w:divBdr>
            <w:top w:val="none" w:sz="0" w:space="0" w:color="auto"/>
            <w:left w:val="none" w:sz="0" w:space="0" w:color="auto"/>
            <w:bottom w:val="none" w:sz="0" w:space="0" w:color="auto"/>
            <w:right w:val="none" w:sz="0" w:space="0" w:color="auto"/>
          </w:divBdr>
        </w:div>
        <w:div w:id="1613365956">
          <w:marLeft w:val="720"/>
          <w:marRight w:val="0"/>
          <w:marTop w:val="96"/>
          <w:marBottom w:val="0"/>
          <w:divBdr>
            <w:top w:val="none" w:sz="0" w:space="0" w:color="auto"/>
            <w:left w:val="none" w:sz="0" w:space="0" w:color="auto"/>
            <w:bottom w:val="none" w:sz="0" w:space="0" w:color="auto"/>
            <w:right w:val="none" w:sz="0" w:space="0" w:color="auto"/>
          </w:divBdr>
        </w:div>
        <w:div w:id="2105493110">
          <w:marLeft w:val="720"/>
          <w:marRight w:val="0"/>
          <w:marTop w:val="96"/>
          <w:marBottom w:val="0"/>
          <w:divBdr>
            <w:top w:val="none" w:sz="0" w:space="0" w:color="auto"/>
            <w:left w:val="none" w:sz="0" w:space="0" w:color="auto"/>
            <w:bottom w:val="none" w:sz="0" w:space="0" w:color="auto"/>
            <w:right w:val="none" w:sz="0" w:space="0" w:color="auto"/>
          </w:divBdr>
        </w:div>
      </w:divsChild>
    </w:div>
    <w:div w:id="2093357550">
      <w:bodyDiv w:val="1"/>
      <w:marLeft w:val="0"/>
      <w:marRight w:val="0"/>
      <w:marTop w:val="0"/>
      <w:marBottom w:val="0"/>
      <w:divBdr>
        <w:top w:val="none" w:sz="0" w:space="0" w:color="auto"/>
        <w:left w:val="none" w:sz="0" w:space="0" w:color="auto"/>
        <w:bottom w:val="none" w:sz="0" w:space="0" w:color="auto"/>
        <w:right w:val="none" w:sz="0" w:space="0" w:color="auto"/>
      </w:divBdr>
      <w:divsChild>
        <w:div w:id="390277286">
          <w:marLeft w:val="720"/>
          <w:marRight w:val="0"/>
          <w:marTop w:val="82"/>
          <w:marBottom w:val="0"/>
          <w:divBdr>
            <w:top w:val="none" w:sz="0" w:space="0" w:color="auto"/>
            <w:left w:val="none" w:sz="0" w:space="0" w:color="auto"/>
            <w:bottom w:val="none" w:sz="0" w:space="0" w:color="auto"/>
            <w:right w:val="none" w:sz="0" w:space="0" w:color="auto"/>
          </w:divBdr>
        </w:div>
        <w:div w:id="1617524635">
          <w:marLeft w:val="720"/>
          <w:marRight w:val="0"/>
          <w:marTop w:val="82"/>
          <w:marBottom w:val="0"/>
          <w:divBdr>
            <w:top w:val="none" w:sz="0" w:space="0" w:color="auto"/>
            <w:left w:val="none" w:sz="0" w:space="0" w:color="auto"/>
            <w:bottom w:val="none" w:sz="0" w:space="0" w:color="auto"/>
            <w:right w:val="none" w:sz="0" w:space="0" w:color="auto"/>
          </w:divBdr>
        </w:div>
        <w:div w:id="1521553303">
          <w:marLeft w:val="720"/>
          <w:marRight w:val="0"/>
          <w:marTop w:val="82"/>
          <w:marBottom w:val="0"/>
          <w:divBdr>
            <w:top w:val="none" w:sz="0" w:space="0" w:color="auto"/>
            <w:left w:val="none" w:sz="0" w:space="0" w:color="auto"/>
            <w:bottom w:val="none" w:sz="0" w:space="0" w:color="auto"/>
            <w:right w:val="none" w:sz="0" w:space="0" w:color="auto"/>
          </w:divBdr>
        </w:div>
        <w:div w:id="730810733">
          <w:marLeft w:val="720"/>
          <w:marRight w:val="0"/>
          <w:marTop w:val="82"/>
          <w:marBottom w:val="0"/>
          <w:divBdr>
            <w:top w:val="none" w:sz="0" w:space="0" w:color="auto"/>
            <w:left w:val="none" w:sz="0" w:space="0" w:color="auto"/>
            <w:bottom w:val="none" w:sz="0" w:space="0" w:color="auto"/>
            <w:right w:val="none" w:sz="0" w:space="0" w:color="auto"/>
          </w:divBdr>
        </w:div>
        <w:div w:id="1913930659">
          <w:marLeft w:val="720"/>
          <w:marRight w:val="0"/>
          <w:marTop w:val="82"/>
          <w:marBottom w:val="0"/>
          <w:divBdr>
            <w:top w:val="none" w:sz="0" w:space="0" w:color="auto"/>
            <w:left w:val="none" w:sz="0" w:space="0" w:color="auto"/>
            <w:bottom w:val="none" w:sz="0" w:space="0" w:color="auto"/>
            <w:right w:val="none" w:sz="0" w:space="0" w:color="auto"/>
          </w:divBdr>
        </w:div>
        <w:div w:id="1012219633">
          <w:marLeft w:val="720"/>
          <w:marRight w:val="0"/>
          <w:marTop w:val="82"/>
          <w:marBottom w:val="0"/>
          <w:divBdr>
            <w:top w:val="none" w:sz="0" w:space="0" w:color="auto"/>
            <w:left w:val="none" w:sz="0" w:space="0" w:color="auto"/>
            <w:bottom w:val="none" w:sz="0" w:space="0" w:color="auto"/>
            <w:right w:val="none" w:sz="0" w:space="0" w:color="auto"/>
          </w:divBdr>
        </w:div>
        <w:div w:id="1706980724">
          <w:marLeft w:val="720"/>
          <w:marRight w:val="0"/>
          <w:marTop w:val="82"/>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591</Words>
  <Characters>3373</Characters>
  <Application>Microsoft Macintosh Word</Application>
  <DocSecurity>0</DocSecurity>
  <Lines>28</Lines>
  <Paragraphs>7</Paragraphs>
  <ScaleCrop>false</ScaleCrop>
  <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Jablow</dc:creator>
  <cp:keywords/>
  <dc:description/>
  <cp:lastModifiedBy>Noah Jablow</cp:lastModifiedBy>
  <cp:revision>10</cp:revision>
  <dcterms:created xsi:type="dcterms:W3CDTF">2015-02-22T16:44:00Z</dcterms:created>
  <dcterms:modified xsi:type="dcterms:W3CDTF">2015-03-08T20:26:00Z</dcterms:modified>
</cp:coreProperties>
</file>