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9CE" w:rsidRDefault="0020184C">
      <w:r>
        <w:t>Does the Use of Hypothermia Therapy Improve Outcomes for Newborns with Hypoxic Ischemic Encephalopathy?</w:t>
      </w:r>
    </w:p>
    <w:p w:rsidR="0020184C" w:rsidRDefault="0020184C">
      <w:r>
        <w:t>- Sandy Cheung, DO, MPH</w:t>
      </w:r>
    </w:p>
    <w:p w:rsidR="00B33622" w:rsidRDefault="00B33622">
      <w:r>
        <w:t>September, 2011</w:t>
      </w:r>
    </w:p>
    <w:p w:rsidR="0020184C" w:rsidRDefault="0020184C">
      <w:pPr>
        <w:rPr>
          <w:b/>
        </w:rPr>
      </w:pPr>
      <w:r>
        <w:rPr>
          <w:b/>
        </w:rPr>
        <w:t>Summary statement:</w:t>
      </w:r>
    </w:p>
    <w:p w:rsidR="00677945" w:rsidRDefault="00657BB3">
      <w:r>
        <w:t>Perinatal</w:t>
      </w:r>
      <w:r w:rsidR="00381D6C">
        <w:t xml:space="preserve"> asphyxia leading to hypoxic ischemic encephalopathy (HIE) is a major cause of death and disability worldwide.  </w:t>
      </w:r>
      <w:r w:rsidR="00F72521">
        <w:t xml:space="preserve">There are no specific treatments proven to decrease brain damage from HIE.  Experimental studies have demonstrated </w:t>
      </w:r>
      <w:r>
        <w:t>that if the perinatal</w:t>
      </w:r>
      <w:r w:rsidR="00407C06">
        <w:t xml:space="preserve"> asphyxia is severe, there may be immediate primary neuronal death that is related to primary energy failure.  After a latent period of at least six hours, there is a secondary phase leading to delayed neuronal death. </w:t>
      </w:r>
      <w:r w:rsidR="00677945">
        <w:t xml:space="preserve"> The delayed phase is associated with encephalopathy.  </w:t>
      </w:r>
      <w:r w:rsidR="00407C06">
        <w:t>(1</w:t>
      </w:r>
      <w:r w:rsidR="00F73217">
        <w:t>-3</w:t>
      </w:r>
      <w:r w:rsidR="00407C06">
        <w:t>)  Deep hypothermia has been shown to be valuable for neuroprotection during cardiac arrest for open-heart and neurosurgical procedure.  Hypothermia therapy may modify cells programmed for apoptosi</w:t>
      </w:r>
      <w:r w:rsidR="00F73217">
        <w:t>s, leading to their survival. (4</w:t>
      </w:r>
      <w:r w:rsidR="00407C06">
        <w:t xml:space="preserve">) </w:t>
      </w:r>
      <w:r w:rsidR="00677945">
        <w:t xml:space="preserve"> Two methods are being evaluated in newborn infants with HIE: whole body cooling and selective head cooling.  Rationale for selective head cooling is to </w:t>
      </w:r>
      <w:r w:rsidR="0031251E">
        <w:t>minimize</w:t>
      </w:r>
      <w:r w:rsidR="00677945">
        <w:t xml:space="preserve"> the adverse effects of systemic cooling.  </w:t>
      </w:r>
      <w:r w:rsidR="0031251E">
        <w:t>Relevant studies were identified from the Cochrane database, PubMed (using the Mesh terms (“Infant, Newbo</w:t>
      </w:r>
      <w:r>
        <w:t>r</w:t>
      </w:r>
      <w:r w:rsidR="0031251E">
        <w:t xml:space="preserve">n” and “Hypoxic ischemic encephalopathy” and “hypothermia”), Web of Knowledge (using topic terms (“ischemic encephalopathy” and “cooling or hypothermia”) and Trip database (using terms “hypoxic-ischemic encephalopathy” and “cooling or hypothermia”).  The methodological </w:t>
      </w:r>
      <w:r>
        <w:t>quality of the studies was</w:t>
      </w:r>
      <w:r w:rsidR="0031251E">
        <w:t xml:space="preserve"> assessed according to whether they used randomization and blinding to the intervention and on the basis of completeness of follow-up.  </w:t>
      </w:r>
    </w:p>
    <w:p w:rsidR="0031251E" w:rsidRDefault="00C9613A">
      <w:r w:rsidRPr="00C9613A">
        <w:rPr>
          <w:b/>
        </w:rPr>
        <w:t>Clinical Bottom Line:</w:t>
      </w:r>
    </w:p>
    <w:p w:rsidR="0031251E" w:rsidRDefault="0031251E">
      <w:r>
        <w:t xml:space="preserve">There is sufficient evidence to support the use of hypothermia therapy in infants with moderate and severe hypoxic ischemic encephalopathy resulting in clinical and statistical reduction </w:t>
      </w:r>
      <w:r w:rsidR="00A1579D">
        <w:t xml:space="preserve">in the composite outcome of </w:t>
      </w:r>
      <w:r>
        <w:t>mortality and degree of neurodevelopmental disability at 18 months of age.</w:t>
      </w:r>
      <w:r w:rsidR="00A1579D">
        <w:t xml:space="preserve">  In addition there is sufficient evidence that hypothermia therapy decreases mortality, without increasing major neurodevelopm</w:t>
      </w:r>
      <w:r w:rsidR="00B567C7">
        <w:t xml:space="preserve">ental disability in survivors. </w:t>
      </w:r>
      <w:r w:rsidR="00F73217">
        <w:t>(5-10)</w:t>
      </w:r>
    </w:p>
    <w:p w:rsidR="00F73217" w:rsidRPr="0031251E" w:rsidRDefault="00216732" w:rsidP="00B567C7">
      <w:pPr>
        <w:sectPr w:rsidR="00F73217" w:rsidRPr="0031251E" w:rsidSect="00D11059">
          <w:pgSz w:w="12240" w:h="15840"/>
          <w:pgMar w:top="1440" w:right="1440" w:bottom="1440" w:left="1440" w:header="720" w:footer="720" w:gutter="0"/>
          <w:cols w:space="720"/>
          <w:docGrid w:linePitch="360"/>
        </w:sectPr>
      </w:pPr>
      <w:r>
        <w:t>Further studies are needed to look at to better define the ideal cooling temperature, clarify the interaction between disease severity and treatment effect and method of hypothermia therapies.  In addition, further studies are needed to evaluate the impact of hypothermia therapy on HIE and neurodevelopment beyond 18 months of age including cognitive and adaptive behavioral function, speech and language disorders, and attention and psychosocial health.</w:t>
      </w:r>
      <w:r w:rsidR="00B567C7">
        <w:t xml:space="preserve"> (11-12)</w:t>
      </w:r>
    </w:p>
    <w:p w:rsidR="0020184C" w:rsidRDefault="00F73217" w:rsidP="00C9613A">
      <w:pPr>
        <w:spacing w:after="0" w:line="240" w:lineRule="auto"/>
        <w:rPr>
          <w:b/>
        </w:rPr>
      </w:pPr>
      <w:r>
        <w:rPr>
          <w:b/>
        </w:rPr>
        <w:lastRenderedPageBreak/>
        <w:t>Summary of Studies Evaluated (5-10):</w:t>
      </w:r>
    </w:p>
    <w:tbl>
      <w:tblPr>
        <w:tblStyle w:val="TableGrid"/>
        <w:tblW w:w="14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368"/>
        <w:gridCol w:w="1660"/>
        <w:gridCol w:w="950"/>
        <w:gridCol w:w="1530"/>
        <w:gridCol w:w="900"/>
        <w:gridCol w:w="900"/>
        <w:gridCol w:w="3510"/>
        <w:gridCol w:w="3510"/>
      </w:tblGrid>
      <w:tr w:rsidR="00C9613A" w:rsidRPr="00C9613A" w:rsidTr="007C5047">
        <w:tc>
          <w:tcPr>
            <w:tcW w:w="1368" w:type="dxa"/>
          </w:tcPr>
          <w:p w:rsidR="00C9613A" w:rsidRPr="00C9613A" w:rsidRDefault="00C9613A" w:rsidP="00C9613A">
            <w:pPr>
              <w:spacing w:line="276" w:lineRule="auto"/>
              <w:rPr>
                <w:sz w:val="16"/>
                <w:szCs w:val="16"/>
              </w:rPr>
            </w:pPr>
            <w:r w:rsidRPr="00C9613A">
              <w:rPr>
                <w:sz w:val="16"/>
                <w:szCs w:val="16"/>
              </w:rPr>
              <w:t>Study</w:t>
            </w:r>
          </w:p>
        </w:tc>
        <w:tc>
          <w:tcPr>
            <w:tcW w:w="1660" w:type="dxa"/>
          </w:tcPr>
          <w:p w:rsidR="00C9613A" w:rsidRPr="00C9613A" w:rsidRDefault="00C9613A" w:rsidP="00C9613A">
            <w:pPr>
              <w:spacing w:line="276" w:lineRule="auto"/>
              <w:rPr>
                <w:sz w:val="16"/>
                <w:szCs w:val="16"/>
              </w:rPr>
            </w:pPr>
            <w:r w:rsidRPr="00C9613A">
              <w:rPr>
                <w:sz w:val="16"/>
                <w:szCs w:val="16"/>
              </w:rPr>
              <w:t>Enrollment criteria</w:t>
            </w:r>
          </w:p>
        </w:tc>
        <w:tc>
          <w:tcPr>
            <w:tcW w:w="950" w:type="dxa"/>
          </w:tcPr>
          <w:p w:rsidR="00C9613A" w:rsidRPr="00C9613A" w:rsidRDefault="00C9613A" w:rsidP="00C9613A">
            <w:pPr>
              <w:spacing w:line="276" w:lineRule="auto"/>
              <w:rPr>
                <w:sz w:val="16"/>
                <w:szCs w:val="16"/>
              </w:rPr>
            </w:pPr>
            <w:r w:rsidRPr="00C9613A">
              <w:rPr>
                <w:sz w:val="16"/>
                <w:szCs w:val="16"/>
              </w:rPr>
              <w:t>Method</w:t>
            </w:r>
          </w:p>
        </w:tc>
        <w:tc>
          <w:tcPr>
            <w:tcW w:w="1530" w:type="dxa"/>
          </w:tcPr>
          <w:p w:rsidR="00C9613A" w:rsidRPr="00C9613A" w:rsidRDefault="00C9613A" w:rsidP="00C9613A">
            <w:pPr>
              <w:spacing w:line="276" w:lineRule="auto"/>
              <w:rPr>
                <w:sz w:val="16"/>
                <w:szCs w:val="16"/>
              </w:rPr>
            </w:pPr>
            <w:r w:rsidRPr="00C9613A">
              <w:rPr>
                <w:sz w:val="16"/>
                <w:szCs w:val="16"/>
              </w:rPr>
              <w:t>Duration of cool</w:t>
            </w:r>
          </w:p>
        </w:tc>
        <w:tc>
          <w:tcPr>
            <w:tcW w:w="900" w:type="dxa"/>
          </w:tcPr>
          <w:p w:rsidR="00C9613A" w:rsidRPr="00C9613A" w:rsidRDefault="00C9613A" w:rsidP="00C9613A">
            <w:pPr>
              <w:spacing w:line="276" w:lineRule="auto"/>
              <w:rPr>
                <w:sz w:val="16"/>
                <w:szCs w:val="16"/>
              </w:rPr>
            </w:pPr>
            <w:r w:rsidRPr="00C9613A">
              <w:rPr>
                <w:sz w:val="16"/>
                <w:szCs w:val="16"/>
              </w:rPr>
              <w:t>N</w:t>
            </w:r>
          </w:p>
        </w:tc>
        <w:tc>
          <w:tcPr>
            <w:tcW w:w="900" w:type="dxa"/>
          </w:tcPr>
          <w:p w:rsidR="00C9613A" w:rsidRPr="00C9613A" w:rsidRDefault="00C9613A" w:rsidP="00C9613A">
            <w:pPr>
              <w:spacing w:line="276" w:lineRule="auto"/>
              <w:rPr>
                <w:sz w:val="16"/>
                <w:szCs w:val="16"/>
              </w:rPr>
            </w:pPr>
            <w:r w:rsidRPr="00C9613A">
              <w:rPr>
                <w:sz w:val="16"/>
                <w:szCs w:val="16"/>
              </w:rPr>
              <w:t>Time of Follow-up</w:t>
            </w:r>
          </w:p>
        </w:tc>
        <w:tc>
          <w:tcPr>
            <w:tcW w:w="3510" w:type="dxa"/>
          </w:tcPr>
          <w:p w:rsidR="00C9613A" w:rsidRPr="00C9613A" w:rsidRDefault="00C9613A" w:rsidP="00C9613A">
            <w:pPr>
              <w:spacing w:line="276" w:lineRule="auto"/>
              <w:rPr>
                <w:sz w:val="16"/>
                <w:szCs w:val="16"/>
              </w:rPr>
            </w:pPr>
            <w:r w:rsidRPr="00C9613A">
              <w:rPr>
                <w:sz w:val="16"/>
                <w:szCs w:val="16"/>
              </w:rPr>
              <w:t>Results</w:t>
            </w:r>
          </w:p>
        </w:tc>
        <w:tc>
          <w:tcPr>
            <w:tcW w:w="3510" w:type="dxa"/>
          </w:tcPr>
          <w:p w:rsidR="00C9613A" w:rsidRPr="00C9613A" w:rsidRDefault="00C9613A" w:rsidP="00C9613A">
            <w:pPr>
              <w:spacing w:line="276" w:lineRule="auto"/>
              <w:rPr>
                <w:sz w:val="16"/>
                <w:szCs w:val="16"/>
              </w:rPr>
            </w:pPr>
            <w:r w:rsidRPr="00C9613A">
              <w:rPr>
                <w:sz w:val="16"/>
                <w:szCs w:val="16"/>
              </w:rPr>
              <w:t>Notes</w:t>
            </w:r>
          </w:p>
        </w:tc>
      </w:tr>
      <w:tr w:rsidR="00C9613A" w:rsidRPr="00C9613A" w:rsidTr="007C5047">
        <w:tc>
          <w:tcPr>
            <w:tcW w:w="1368" w:type="dxa"/>
          </w:tcPr>
          <w:p w:rsidR="00C9613A" w:rsidRPr="00C9613A" w:rsidRDefault="00C9613A" w:rsidP="00C9613A">
            <w:pPr>
              <w:spacing w:line="276" w:lineRule="auto"/>
              <w:rPr>
                <w:sz w:val="16"/>
                <w:szCs w:val="16"/>
              </w:rPr>
            </w:pPr>
            <w:r w:rsidRPr="00C9613A">
              <w:rPr>
                <w:sz w:val="16"/>
                <w:szCs w:val="16"/>
              </w:rPr>
              <w:t>Jacobs et al (2008)</w:t>
            </w:r>
          </w:p>
          <w:p w:rsidR="00C9613A" w:rsidRPr="00C9613A" w:rsidRDefault="00C9613A" w:rsidP="00C9613A">
            <w:pPr>
              <w:spacing w:line="276" w:lineRule="auto"/>
              <w:rPr>
                <w:i/>
                <w:sz w:val="16"/>
                <w:szCs w:val="16"/>
              </w:rPr>
            </w:pPr>
          </w:p>
          <w:p w:rsidR="00C9613A" w:rsidRPr="00C9613A" w:rsidRDefault="00C9613A" w:rsidP="00C9613A">
            <w:pPr>
              <w:spacing w:line="276" w:lineRule="auto"/>
              <w:rPr>
                <w:i/>
                <w:sz w:val="16"/>
                <w:szCs w:val="16"/>
              </w:rPr>
            </w:pPr>
            <w:r w:rsidRPr="00C9613A">
              <w:rPr>
                <w:i/>
                <w:sz w:val="16"/>
                <w:szCs w:val="16"/>
              </w:rPr>
              <w:t>Cochrane</w:t>
            </w:r>
          </w:p>
        </w:tc>
        <w:tc>
          <w:tcPr>
            <w:tcW w:w="1660" w:type="dxa"/>
          </w:tcPr>
          <w:p w:rsidR="00C9613A" w:rsidRPr="00C9613A" w:rsidRDefault="00C9613A" w:rsidP="00C9613A">
            <w:pPr>
              <w:spacing w:line="276" w:lineRule="auto"/>
              <w:rPr>
                <w:sz w:val="16"/>
                <w:szCs w:val="16"/>
              </w:rPr>
            </w:pPr>
            <w:r w:rsidRPr="00C9613A">
              <w:rPr>
                <w:sz w:val="16"/>
                <w:szCs w:val="16"/>
              </w:rPr>
              <w:t>&lt;6h</w:t>
            </w:r>
          </w:p>
          <w:p w:rsidR="00C9613A" w:rsidRPr="00C9613A" w:rsidRDefault="00C9613A" w:rsidP="00C9613A">
            <w:pPr>
              <w:spacing w:line="276" w:lineRule="auto"/>
              <w:rPr>
                <w:sz w:val="16"/>
                <w:szCs w:val="16"/>
              </w:rPr>
            </w:pPr>
            <w:r w:rsidRPr="00C9613A">
              <w:rPr>
                <w:sz w:val="16"/>
                <w:szCs w:val="16"/>
              </w:rPr>
              <w:t>pH &lt;7.1, BE &gt;12</w:t>
            </w:r>
          </w:p>
          <w:p w:rsidR="00C9613A" w:rsidRPr="00C9613A" w:rsidRDefault="00C9613A" w:rsidP="00C9613A">
            <w:pPr>
              <w:spacing w:line="276" w:lineRule="auto"/>
              <w:rPr>
                <w:sz w:val="16"/>
                <w:szCs w:val="16"/>
              </w:rPr>
            </w:pPr>
            <w:r w:rsidRPr="00C9613A">
              <w:rPr>
                <w:sz w:val="16"/>
                <w:szCs w:val="16"/>
              </w:rPr>
              <w:t>Apgar &lt;5 at 10’</w:t>
            </w:r>
          </w:p>
          <w:p w:rsidR="00C9613A" w:rsidRPr="00C9613A" w:rsidRDefault="00C9613A" w:rsidP="00C9613A">
            <w:pPr>
              <w:spacing w:line="276" w:lineRule="auto"/>
              <w:rPr>
                <w:sz w:val="16"/>
                <w:szCs w:val="16"/>
              </w:rPr>
            </w:pPr>
            <w:r w:rsidRPr="00C9613A">
              <w:rPr>
                <w:sz w:val="16"/>
                <w:szCs w:val="16"/>
              </w:rPr>
              <w:t>Clinical enceph</w:t>
            </w:r>
          </w:p>
        </w:tc>
        <w:tc>
          <w:tcPr>
            <w:tcW w:w="950" w:type="dxa"/>
          </w:tcPr>
          <w:p w:rsidR="00C9613A" w:rsidRPr="00C9613A" w:rsidRDefault="00C9613A" w:rsidP="00C9613A">
            <w:pPr>
              <w:spacing w:line="276" w:lineRule="auto"/>
              <w:rPr>
                <w:sz w:val="16"/>
                <w:szCs w:val="16"/>
              </w:rPr>
            </w:pPr>
            <w:r w:rsidRPr="00C9613A">
              <w:rPr>
                <w:sz w:val="16"/>
                <w:szCs w:val="16"/>
              </w:rPr>
              <w:t>WBC, SHC</w:t>
            </w:r>
          </w:p>
        </w:tc>
        <w:tc>
          <w:tcPr>
            <w:tcW w:w="1530" w:type="dxa"/>
          </w:tcPr>
          <w:p w:rsidR="00C9613A" w:rsidRPr="00C9613A" w:rsidRDefault="00C9613A" w:rsidP="00C9613A">
            <w:pPr>
              <w:spacing w:line="276" w:lineRule="auto"/>
              <w:rPr>
                <w:sz w:val="16"/>
                <w:szCs w:val="16"/>
              </w:rPr>
            </w:pPr>
            <w:r w:rsidRPr="00C9613A">
              <w:rPr>
                <w:sz w:val="16"/>
                <w:szCs w:val="16"/>
              </w:rPr>
              <w:t>&gt;48 h</w:t>
            </w:r>
          </w:p>
          <w:p w:rsidR="00C9613A" w:rsidRPr="00C9613A" w:rsidRDefault="00C9613A" w:rsidP="00C9613A">
            <w:pPr>
              <w:spacing w:line="276" w:lineRule="auto"/>
              <w:rPr>
                <w:sz w:val="16"/>
                <w:szCs w:val="16"/>
              </w:rPr>
            </w:pPr>
            <w:r w:rsidRPr="00C9613A">
              <w:rPr>
                <w:sz w:val="16"/>
                <w:szCs w:val="16"/>
              </w:rPr>
              <w:t>33.5-34.5°C rectal</w:t>
            </w:r>
          </w:p>
        </w:tc>
        <w:tc>
          <w:tcPr>
            <w:tcW w:w="900" w:type="dxa"/>
          </w:tcPr>
          <w:p w:rsidR="00C9613A" w:rsidRPr="00C9613A" w:rsidRDefault="00C9613A" w:rsidP="00C9613A">
            <w:pPr>
              <w:spacing w:line="276" w:lineRule="auto"/>
              <w:rPr>
                <w:sz w:val="16"/>
                <w:szCs w:val="16"/>
              </w:rPr>
            </w:pPr>
            <w:r w:rsidRPr="00C9613A">
              <w:rPr>
                <w:sz w:val="16"/>
                <w:szCs w:val="16"/>
              </w:rPr>
              <w:t>8 RCT</w:t>
            </w:r>
          </w:p>
          <w:p w:rsidR="00C9613A" w:rsidRPr="00C9613A" w:rsidRDefault="00C9613A" w:rsidP="00C9613A">
            <w:pPr>
              <w:spacing w:line="276" w:lineRule="auto"/>
              <w:rPr>
                <w:sz w:val="16"/>
                <w:szCs w:val="16"/>
              </w:rPr>
            </w:pPr>
            <w:r w:rsidRPr="00C9613A">
              <w:rPr>
                <w:sz w:val="16"/>
                <w:szCs w:val="16"/>
              </w:rPr>
              <w:t>327 (H)</w:t>
            </w:r>
          </w:p>
          <w:p w:rsidR="00C9613A" w:rsidRPr="00C9613A" w:rsidRDefault="00C9613A" w:rsidP="00C9613A">
            <w:pPr>
              <w:spacing w:line="276" w:lineRule="auto"/>
              <w:rPr>
                <w:sz w:val="16"/>
                <w:szCs w:val="16"/>
              </w:rPr>
            </w:pPr>
            <w:r w:rsidRPr="00C9613A">
              <w:rPr>
                <w:sz w:val="16"/>
                <w:szCs w:val="16"/>
              </w:rPr>
              <w:t>330 (N)</w:t>
            </w:r>
          </w:p>
        </w:tc>
        <w:tc>
          <w:tcPr>
            <w:tcW w:w="900" w:type="dxa"/>
          </w:tcPr>
          <w:p w:rsidR="00C9613A" w:rsidRPr="00C9613A" w:rsidRDefault="00C9613A" w:rsidP="00C9613A">
            <w:pPr>
              <w:spacing w:line="276" w:lineRule="auto"/>
              <w:rPr>
                <w:sz w:val="16"/>
                <w:szCs w:val="16"/>
              </w:rPr>
            </w:pPr>
            <w:r w:rsidRPr="00C9613A">
              <w:rPr>
                <w:sz w:val="16"/>
                <w:szCs w:val="16"/>
              </w:rPr>
              <w:t>18 mth</w:t>
            </w:r>
          </w:p>
        </w:tc>
        <w:tc>
          <w:tcPr>
            <w:tcW w:w="3510" w:type="dxa"/>
          </w:tcPr>
          <w:p w:rsidR="00C9613A" w:rsidRPr="00C9613A" w:rsidRDefault="00C9613A" w:rsidP="00C9613A">
            <w:pPr>
              <w:spacing w:line="276" w:lineRule="auto"/>
              <w:rPr>
                <w:sz w:val="16"/>
                <w:szCs w:val="16"/>
              </w:rPr>
            </w:pPr>
            <w:r w:rsidRPr="00C9613A">
              <w:rPr>
                <w:sz w:val="16"/>
                <w:szCs w:val="16"/>
                <w:u w:val="single"/>
              </w:rPr>
              <w:t>Death or severe disability</w:t>
            </w:r>
            <w:r w:rsidRPr="00C9613A">
              <w:rPr>
                <w:sz w:val="16"/>
                <w:szCs w:val="16"/>
              </w:rPr>
              <w:t>:</w:t>
            </w:r>
          </w:p>
          <w:p w:rsidR="00C9613A" w:rsidRPr="00C9613A" w:rsidRDefault="00C9613A" w:rsidP="00C9613A">
            <w:pPr>
              <w:spacing w:line="276" w:lineRule="auto"/>
              <w:rPr>
                <w:sz w:val="16"/>
                <w:szCs w:val="16"/>
              </w:rPr>
            </w:pPr>
            <w:r w:rsidRPr="00C9613A">
              <w:rPr>
                <w:sz w:val="16"/>
                <w:szCs w:val="16"/>
              </w:rPr>
              <w:t>RR 0.76*; NNT=7</w:t>
            </w:r>
          </w:p>
          <w:p w:rsidR="00C9613A" w:rsidRPr="00C9613A" w:rsidRDefault="00C9613A" w:rsidP="00C9613A">
            <w:pPr>
              <w:spacing w:line="276" w:lineRule="auto"/>
              <w:rPr>
                <w:sz w:val="16"/>
                <w:szCs w:val="16"/>
              </w:rPr>
            </w:pPr>
            <w:r w:rsidRPr="00C9613A">
              <w:rPr>
                <w:sz w:val="16"/>
                <w:szCs w:val="16"/>
                <w:u w:val="single"/>
              </w:rPr>
              <w:t>Mortality</w:t>
            </w:r>
            <w:r w:rsidRPr="00C9613A">
              <w:rPr>
                <w:sz w:val="16"/>
                <w:szCs w:val="16"/>
              </w:rPr>
              <w:t>:</w:t>
            </w:r>
          </w:p>
          <w:p w:rsidR="00C9613A" w:rsidRPr="00C9613A" w:rsidRDefault="00C9613A" w:rsidP="00C9613A">
            <w:pPr>
              <w:spacing w:line="276" w:lineRule="auto"/>
              <w:rPr>
                <w:sz w:val="16"/>
                <w:szCs w:val="16"/>
              </w:rPr>
            </w:pPr>
            <w:r w:rsidRPr="00C9613A">
              <w:rPr>
                <w:sz w:val="16"/>
                <w:szCs w:val="16"/>
              </w:rPr>
              <w:t>RR 0.74*; NNT=11</w:t>
            </w:r>
          </w:p>
          <w:p w:rsidR="00C9613A" w:rsidRPr="00C9613A" w:rsidRDefault="00C9613A" w:rsidP="00C9613A">
            <w:pPr>
              <w:spacing w:line="276" w:lineRule="auto"/>
              <w:rPr>
                <w:sz w:val="16"/>
                <w:szCs w:val="16"/>
              </w:rPr>
            </w:pPr>
            <w:r w:rsidRPr="00C9613A">
              <w:rPr>
                <w:sz w:val="16"/>
                <w:szCs w:val="16"/>
                <w:u w:val="single"/>
              </w:rPr>
              <w:t>Severe neuromotor disability</w:t>
            </w:r>
            <w:r w:rsidRPr="00C9613A">
              <w:rPr>
                <w:sz w:val="16"/>
                <w:szCs w:val="16"/>
              </w:rPr>
              <w:t>:</w:t>
            </w:r>
          </w:p>
          <w:p w:rsidR="00C9613A" w:rsidRPr="00C9613A" w:rsidRDefault="00C9613A" w:rsidP="00C9613A">
            <w:pPr>
              <w:spacing w:line="276" w:lineRule="auto"/>
              <w:rPr>
                <w:sz w:val="16"/>
                <w:szCs w:val="16"/>
              </w:rPr>
            </w:pPr>
            <w:r w:rsidRPr="00C9613A">
              <w:rPr>
                <w:sz w:val="16"/>
                <w:szCs w:val="16"/>
              </w:rPr>
              <w:t>RR 0.68*</w:t>
            </w:r>
          </w:p>
          <w:p w:rsidR="00C9613A" w:rsidRPr="00C9613A" w:rsidRDefault="00C9613A" w:rsidP="00C9613A">
            <w:pPr>
              <w:spacing w:line="276" w:lineRule="auto"/>
              <w:rPr>
                <w:sz w:val="16"/>
                <w:szCs w:val="16"/>
              </w:rPr>
            </w:pPr>
            <w:r w:rsidRPr="00C9613A">
              <w:rPr>
                <w:sz w:val="16"/>
                <w:szCs w:val="16"/>
                <w:u w:val="single"/>
              </w:rPr>
              <w:t>Adverse effects</w:t>
            </w:r>
            <w:r w:rsidRPr="00C9613A">
              <w:rPr>
                <w:sz w:val="16"/>
                <w:szCs w:val="16"/>
              </w:rPr>
              <w:t>:</w:t>
            </w:r>
          </w:p>
          <w:p w:rsidR="00C9613A" w:rsidRPr="00C9613A" w:rsidRDefault="00C9613A" w:rsidP="00C9613A">
            <w:pPr>
              <w:spacing w:line="276" w:lineRule="auto"/>
              <w:rPr>
                <w:sz w:val="16"/>
                <w:szCs w:val="16"/>
              </w:rPr>
            </w:pPr>
            <w:r w:rsidRPr="00C9613A">
              <w:rPr>
                <w:sz w:val="16"/>
                <w:szCs w:val="16"/>
              </w:rPr>
              <w:t>Bradycardia, thrombocytopenia</w:t>
            </w:r>
          </w:p>
        </w:tc>
        <w:tc>
          <w:tcPr>
            <w:tcW w:w="3510" w:type="dxa"/>
          </w:tcPr>
          <w:p w:rsidR="00C9613A" w:rsidRPr="00C9613A" w:rsidRDefault="00C9613A" w:rsidP="00C9613A">
            <w:pPr>
              <w:spacing w:line="276" w:lineRule="auto"/>
              <w:rPr>
                <w:sz w:val="16"/>
                <w:szCs w:val="16"/>
              </w:rPr>
            </w:pPr>
            <w:r w:rsidRPr="00C9613A">
              <w:rPr>
                <w:sz w:val="16"/>
                <w:szCs w:val="16"/>
              </w:rPr>
              <w:t>-Ongoing studies not included in meta-analysis</w:t>
            </w:r>
          </w:p>
        </w:tc>
      </w:tr>
      <w:tr w:rsidR="00C9613A" w:rsidRPr="00C9613A" w:rsidTr="007C5047">
        <w:tc>
          <w:tcPr>
            <w:tcW w:w="1368" w:type="dxa"/>
          </w:tcPr>
          <w:p w:rsidR="00C9613A" w:rsidRPr="00C9613A" w:rsidRDefault="00C9613A" w:rsidP="00C9613A">
            <w:pPr>
              <w:spacing w:line="276" w:lineRule="auto"/>
              <w:rPr>
                <w:sz w:val="16"/>
                <w:szCs w:val="16"/>
              </w:rPr>
            </w:pPr>
            <w:r w:rsidRPr="00C9613A">
              <w:rPr>
                <w:sz w:val="16"/>
                <w:szCs w:val="16"/>
              </w:rPr>
              <w:t>Azzopadi et al (2009)</w:t>
            </w:r>
          </w:p>
          <w:p w:rsidR="00C9613A" w:rsidRPr="00C9613A" w:rsidRDefault="00C9613A" w:rsidP="00C9613A">
            <w:pPr>
              <w:spacing w:line="276" w:lineRule="auto"/>
              <w:rPr>
                <w:i/>
                <w:sz w:val="16"/>
                <w:szCs w:val="16"/>
              </w:rPr>
            </w:pPr>
          </w:p>
          <w:p w:rsidR="00C9613A" w:rsidRPr="00C9613A" w:rsidRDefault="00C9613A" w:rsidP="00C9613A">
            <w:pPr>
              <w:spacing w:line="276" w:lineRule="auto"/>
              <w:rPr>
                <w:i/>
                <w:sz w:val="16"/>
                <w:szCs w:val="16"/>
              </w:rPr>
            </w:pPr>
            <w:r w:rsidRPr="00C9613A">
              <w:rPr>
                <w:i/>
                <w:sz w:val="16"/>
                <w:szCs w:val="16"/>
              </w:rPr>
              <w:t>TOBY</w:t>
            </w:r>
          </w:p>
        </w:tc>
        <w:tc>
          <w:tcPr>
            <w:tcW w:w="1660" w:type="dxa"/>
          </w:tcPr>
          <w:p w:rsidR="00C9613A" w:rsidRPr="00C9613A" w:rsidRDefault="00C9613A" w:rsidP="00C9613A">
            <w:pPr>
              <w:spacing w:line="276" w:lineRule="auto"/>
              <w:rPr>
                <w:sz w:val="16"/>
                <w:szCs w:val="16"/>
              </w:rPr>
            </w:pPr>
            <w:r w:rsidRPr="00C9613A">
              <w:rPr>
                <w:sz w:val="16"/>
                <w:szCs w:val="16"/>
              </w:rPr>
              <w:t>&lt;6 h</w:t>
            </w:r>
          </w:p>
          <w:p w:rsidR="00C9613A" w:rsidRPr="00C9613A" w:rsidRDefault="00C9613A" w:rsidP="00C9613A">
            <w:pPr>
              <w:spacing w:line="276" w:lineRule="auto"/>
              <w:rPr>
                <w:sz w:val="16"/>
                <w:szCs w:val="16"/>
              </w:rPr>
            </w:pPr>
            <w:r w:rsidRPr="00C9613A">
              <w:rPr>
                <w:sz w:val="16"/>
                <w:szCs w:val="16"/>
              </w:rPr>
              <w:t>pH &lt;7.0, BE</w:t>
            </w:r>
            <w:r w:rsidRPr="00C9613A">
              <w:rPr>
                <w:sz w:val="16"/>
                <w:szCs w:val="16"/>
                <w:u w:val="single"/>
              </w:rPr>
              <w:t>&gt;</w:t>
            </w:r>
            <w:r w:rsidRPr="00C9613A">
              <w:rPr>
                <w:sz w:val="16"/>
                <w:szCs w:val="16"/>
              </w:rPr>
              <w:t xml:space="preserve">16 </w:t>
            </w:r>
          </w:p>
          <w:p w:rsidR="00C9613A" w:rsidRPr="00C9613A" w:rsidRDefault="00C9613A" w:rsidP="00C9613A">
            <w:pPr>
              <w:spacing w:line="276" w:lineRule="auto"/>
              <w:rPr>
                <w:sz w:val="16"/>
                <w:szCs w:val="16"/>
              </w:rPr>
            </w:pPr>
            <w:r w:rsidRPr="00C9613A">
              <w:rPr>
                <w:sz w:val="16"/>
                <w:szCs w:val="16"/>
              </w:rPr>
              <w:t>Apgar &lt;5 at 10’</w:t>
            </w:r>
          </w:p>
          <w:p w:rsidR="00C9613A" w:rsidRPr="00C9613A" w:rsidRDefault="00C9613A" w:rsidP="00C9613A">
            <w:pPr>
              <w:spacing w:line="276" w:lineRule="auto"/>
              <w:rPr>
                <w:sz w:val="16"/>
                <w:szCs w:val="16"/>
              </w:rPr>
            </w:pPr>
            <w:r w:rsidRPr="00C9613A">
              <w:rPr>
                <w:sz w:val="16"/>
                <w:szCs w:val="16"/>
              </w:rPr>
              <w:t>Abnl aEEG</w:t>
            </w:r>
          </w:p>
        </w:tc>
        <w:tc>
          <w:tcPr>
            <w:tcW w:w="950" w:type="dxa"/>
          </w:tcPr>
          <w:p w:rsidR="00C9613A" w:rsidRPr="00C9613A" w:rsidRDefault="00C9613A" w:rsidP="00C9613A">
            <w:pPr>
              <w:spacing w:line="276" w:lineRule="auto"/>
              <w:rPr>
                <w:sz w:val="16"/>
                <w:szCs w:val="16"/>
              </w:rPr>
            </w:pPr>
            <w:r w:rsidRPr="00C9613A">
              <w:rPr>
                <w:sz w:val="16"/>
                <w:szCs w:val="16"/>
              </w:rPr>
              <w:t>WBC</w:t>
            </w:r>
          </w:p>
        </w:tc>
        <w:tc>
          <w:tcPr>
            <w:tcW w:w="1530" w:type="dxa"/>
          </w:tcPr>
          <w:p w:rsidR="00C9613A" w:rsidRPr="00C9613A" w:rsidRDefault="00C9613A" w:rsidP="00C9613A">
            <w:pPr>
              <w:spacing w:line="276" w:lineRule="auto"/>
              <w:rPr>
                <w:sz w:val="16"/>
                <w:szCs w:val="16"/>
              </w:rPr>
            </w:pPr>
            <w:r w:rsidRPr="00C9613A">
              <w:rPr>
                <w:sz w:val="16"/>
                <w:szCs w:val="16"/>
              </w:rPr>
              <w:t>72h</w:t>
            </w:r>
          </w:p>
          <w:p w:rsidR="00C9613A" w:rsidRPr="00C9613A" w:rsidRDefault="00C9613A" w:rsidP="00C9613A">
            <w:pPr>
              <w:spacing w:line="276" w:lineRule="auto"/>
              <w:rPr>
                <w:sz w:val="16"/>
                <w:szCs w:val="16"/>
              </w:rPr>
            </w:pPr>
            <w:r w:rsidRPr="00C9613A">
              <w:rPr>
                <w:sz w:val="16"/>
                <w:szCs w:val="16"/>
              </w:rPr>
              <w:t>33-34°C rectal</w:t>
            </w:r>
          </w:p>
        </w:tc>
        <w:tc>
          <w:tcPr>
            <w:tcW w:w="900" w:type="dxa"/>
          </w:tcPr>
          <w:p w:rsidR="00C9613A" w:rsidRPr="00C9613A" w:rsidRDefault="00C9613A" w:rsidP="00C9613A">
            <w:pPr>
              <w:spacing w:line="276" w:lineRule="auto"/>
              <w:rPr>
                <w:sz w:val="16"/>
                <w:szCs w:val="16"/>
              </w:rPr>
            </w:pPr>
            <w:r w:rsidRPr="00C9613A">
              <w:rPr>
                <w:sz w:val="16"/>
                <w:szCs w:val="16"/>
              </w:rPr>
              <w:t>163 (H)</w:t>
            </w:r>
          </w:p>
          <w:p w:rsidR="00C9613A" w:rsidRPr="00C9613A" w:rsidRDefault="00C9613A" w:rsidP="00C9613A">
            <w:pPr>
              <w:spacing w:line="276" w:lineRule="auto"/>
              <w:rPr>
                <w:sz w:val="16"/>
                <w:szCs w:val="16"/>
              </w:rPr>
            </w:pPr>
            <w:r w:rsidRPr="00C9613A">
              <w:rPr>
                <w:sz w:val="16"/>
                <w:szCs w:val="16"/>
              </w:rPr>
              <w:t>162 (N)</w:t>
            </w:r>
          </w:p>
          <w:p w:rsidR="00C9613A" w:rsidRPr="00C9613A" w:rsidRDefault="00C9613A" w:rsidP="00C9613A">
            <w:pPr>
              <w:spacing w:line="276" w:lineRule="auto"/>
              <w:rPr>
                <w:sz w:val="16"/>
                <w:szCs w:val="16"/>
              </w:rPr>
            </w:pPr>
          </w:p>
          <w:p w:rsidR="00C9613A" w:rsidRPr="00C9613A" w:rsidRDefault="00C9613A" w:rsidP="00C9613A">
            <w:pPr>
              <w:spacing w:line="276" w:lineRule="auto"/>
              <w:rPr>
                <w:sz w:val="16"/>
                <w:szCs w:val="16"/>
              </w:rPr>
            </w:pPr>
            <w:r w:rsidRPr="00C9613A">
              <w:rPr>
                <w:sz w:val="16"/>
                <w:szCs w:val="16"/>
              </w:rPr>
              <w:t>LTF:</w:t>
            </w:r>
          </w:p>
          <w:p w:rsidR="00C9613A" w:rsidRPr="00C9613A" w:rsidRDefault="00C9613A" w:rsidP="00C9613A">
            <w:pPr>
              <w:spacing w:line="276" w:lineRule="auto"/>
              <w:rPr>
                <w:sz w:val="16"/>
                <w:szCs w:val="16"/>
              </w:rPr>
            </w:pPr>
            <w:r w:rsidRPr="00C9613A">
              <w:rPr>
                <w:sz w:val="16"/>
                <w:szCs w:val="16"/>
              </w:rPr>
              <w:t>1 (H)</w:t>
            </w:r>
          </w:p>
          <w:p w:rsidR="00C9613A" w:rsidRPr="00C9613A" w:rsidRDefault="00C9613A" w:rsidP="00C9613A">
            <w:pPr>
              <w:spacing w:line="276" w:lineRule="auto"/>
              <w:rPr>
                <w:sz w:val="16"/>
                <w:szCs w:val="16"/>
              </w:rPr>
            </w:pPr>
            <w:r w:rsidRPr="00C9613A">
              <w:rPr>
                <w:sz w:val="16"/>
                <w:szCs w:val="16"/>
              </w:rPr>
              <w:t>1 (N)</w:t>
            </w:r>
          </w:p>
        </w:tc>
        <w:tc>
          <w:tcPr>
            <w:tcW w:w="900" w:type="dxa"/>
          </w:tcPr>
          <w:p w:rsidR="00C9613A" w:rsidRPr="00C9613A" w:rsidRDefault="00C9613A" w:rsidP="00C9613A">
            <w:pPr>
              <w:spacing w:line="276" w:lineRule="auto"/>
              <w:rPr>
                <w:sz w:val="16"/>
                <w:szCs w:val="16"/>
              </w:rPr>
            </w:pPr>
            <w:r w:rsidRPr="00C9613A">
              <w:rPr>
                <w:sz w:val="16"/>
                <w:szCs w:val="16"/>
              </w:rPr>
              <w:t>18 to 21 mth</w:t>
            </w:r>
          </w:p>
        </w:tc>
        <w:tc>
          <w:tcPr>
            <w:tcW w:w="3510" w:type="dxa"/>
          </w:tcPr>
          <w:p w:rsidR="00C9613A" w:rsidRPr="00C9613A" w:rsidRDefault="00C9613A" w:rsidP="00C9613A">
            <w:pPr>
              <w:spacing w:line="276" w:lineRule="auto"/>
              <w:rPr>
                <w:sz w:val="16"/>
                <w:szCs w:val="16"/>
              </w:rPr>
            </w:pPr>
            <w:r w:rsidRPr="00C9613A">
              <w:rPr>
                <w:sz w:val="16"/>
                <w:szCs w:val="16"/>
                <w:u w:val="single"/>
              </w:rPr>
              <w:t>Death or severe disability</w:t>
            </w:r>
            <w:r w:rsidRPr="00C9613A">
              <w:rPr>
                <w:sz w:val="16"/>
                <w:szCs w:val="16"/>
              </w:rPr>
              <w:t>:</w:t>
            </w:r>
          </w:p>
          <w:p w:rsidR="00C9613A" w:rsidRPr="00C9613A" w:rsidRDefault="00C9613A" w:rsidP="00C9613A">
            <w:pPr>
              <w:spacing w:line="276" w:lineRule="auto"/>
              <w:rPr>
                <w:sz w:val="16"/>
                <w:szCs w:val="16"/>
              </w:rPr>
            </w:pPr>
            <w:r w:rsidRPr="00C9613A">
              <w:rPr>
                <w:sz w:val="16"/>
                <w:szCs w:val="16"/>
              </w:rPr>
              <w:t>53% (N) vs 45% (H); NNT=13</w:t>
            </w:r>
          </w:p>
          <w:p w:rsidR="00C9613A" w:rsidRPr="00C9613A" w:rsidRDefault="00C9613A" w:rsidP="00C9613A">
            <w:pPr>
              <w:spacing w:line="276" w:lineRule="auto"/>
              <w:rPr>
                <w:sz w:val="16"/>
                <w:szCs w:val="16"/>
              </w:rPr>
            </w:pPr>
            <w:r w:rsidRPr="00C9613A">
              <w:rPr>
                <w:sz w:val="16"/>
                <w:szCs w:val="16"/>
                <w:u w:val="single"/>
              </w:rPr>
              <w:t>Mortality</w:t>
            </w:r>
            <w:r w:rsidRPr="00C9613A">
              <w:rPr>
                <w:sz w:val="16"/>
                <w:szCs w:val="16"/>
              </w:rPr>
              <w:t>:</w:t>
            </w:r>
          </w:p>
          <w:p w:rsidR="00C9613A" w:rsidRPr="00C9613A" w:rsidRDefault="00C9613A" w:rsidP="00C9613A">
            <w:pPr>
              <w:spacing w:line="276" w:lineRule="auto"/>
              <w:rPr>
                <w:sz w:val="16"/>
                <w:szCs w:val="16"/>
              </w:rPr>
            </w:pPr>
            <w:r w:rsidRPr="00C9613A">
              <w:rPr>
                <w:sz w:val="16"/>
                <w:szCs w:val="16"/>
              </w:rPr>
              <w:t>27% (N) vs 26% (H); NNT=72</w:t>
            </w:r>
          </w:p>
          <w:p w:rsidR="00C9613A" w:rsidRPr="00C9613A" w:rsidRDefault="00C9613A" w:rsidP="00C9613A">
            <w:pPr>
              <w:spacing w:line="276" w:lineRule="auto"/>
              <w:rPr>
                <w:sz w:val="16"/>
                <w:szCs w:val="16"/>
              </w:rPr>
            </w:pPr>
            <w:r w:rsidRPr="00C9613A">
              <w:rPr>
                <w:sz w:val="16"/>
                <w:szCs w:val="16"/>
                <w:u w:val="single"/>
              </w:rPr>
              <w:t>Survival without neuromotor disability</w:t>
            </w:r>
            <w:r w:rsidRPr="00C9613A">
              <w:rPr>
                <w:sz w:val="16"/>
                <w:szCs w:val="16"/>
              </w:rPr>
              <w:t>:</w:t>
            </w:r>
          </w:p>
          <w:p w:rsidR="00C9613A" w:rsidRPr="00C9613A" w:rsidRDefault="00C9613A" w:rsidP="00C9613A">
            <w:pPr>
              <w:spacing w:line="276" w:lineRule="auto"/>
              <w:rPr>
                <w:sz w:val="16"/>
                <w:szCs w:val="16"/>
              </w:rPr>
            </w:pPr>
            <w:r w:rsidRPr="00C9613A">
              <w:rPr>
                <w:sz w:val="16"/>
                <w:szCs w:val="16"/>
              </w:rPr>
              <w:t>28% (N) vs 44% (H)*; NNT=6</w:t>
            </w:r>
          </w:p>
          <w:p w:rsidR="00C9613A" w:rsidRPr="00C9613A" w:rsidRDefault="00C9613A" w:rsidP="00C9613A">
            <w:pPr>
              <w:spacing w:line="276" w:lineRule="auto"/>
              <w:rPr>
                <w:sz w:val="16"/>
                <w:szCs w:val="16"/>
              </w:rPr>
            </w:pPr>
            <w:r w:rsidRPr="00C9613A">
              <w:rPr>
                <w:sz w:val="16"/>
                <w:szCs w:val="16"/>
                <w:u w:val="single"/>
              </w:rPr>
              <w:t>Multiple neurodevelopmental disabilities</w:t>
            </w:r>
            <w:r w:rsidRPr="00C9613A">
              <w:rPr>
                <w:sz w:val="16"/>
                <w:szCs w:val="16"/>
              </w:rPr>
              <w:t>:</w:t>
            </w:r>
          </w:p>
          <w:p w:rsidR="00C9613A" w:rsidRPr="00C9613A" w:rsidRDefault="00C9613A" w:rsidP="00C9613A">
            <w:pPr>
              <w:spacing w:line="276" w:lineRule="auto"/>
              <w:rPr>
                <w:sz w:val="16"/>
                <w:szCs w:val="16"/>
              </w:rPr>
            </w:pPr>
            <w:r w:rsidRPr="00C9613A">
              <w:rPr>
                <w:sz w:val="16"/>
                <w:szCs w:val="16"/>
              </w:rPr>
              <w:t>30% (N) vs 19% (H)*;  NNT=9</w:t>
            </w:r>
          </w:p>
          <w:p w:rsidR="00C9613A" w:rsidRPr="00C9613A" w:rsidRDefault="00C9613A" w:rsidP="00C9613A">
            <w:pPr>
              <w:spacing w:line="276" w:lineRule="auto"/>
              <w:rPr>
                <w:sz w:val="16"/>
                <w:szCs w:val="16"/>
              </w:rPr>
            </w:pPr>
            <w:r w:rsidRPr="00C9613A">
              <w:rPr>
                <w:sz w:val="16"/>
                <w:szCs w:val="16"/>
                <w:u w:val="single"/>
              </w:rPr>
              <w:t>Cerebral palsy</w:t>
            </w:r>
            <w:r w:rsidRPr="00C9613A">
              <w:rPr>
                <w:sz w:val="16"/>
                <w:szCs w:val="16"/>
              </w:rPr>
              <w:t>:</w:t>
            </w:r>
          </w:p>
          <w:p w:rsidR="00C9613A" w:rsidRPr="00C9613A" w:rsidRDefault="00C9613A" w:rsidP="00C9613A">
            <w:pPr>
              <w:spacing w:line="276" w:lineRule="auto"/>
              <w:rPr>
                <w:sz w:val="16"/>
                <w:szCs w:val="16"/>
              </w:rPr>
            </w:pPr>
            <w:r w:rsidRPr="00C9613A">
              <w:rPr>
                <w:sz w:val="16"/>
                <w:szCs w:val="16"/>
              </w:rPr>
              <w:t>41% (N) vs 28% (H)*;  NNT=7</w:t>
            </w:r>
          </w:p>
        </w:tc>
        <w:tc>
          <w:tcPr>
            <w:tcW w:w="3510" w:type="dxa"/>
          </w:tcPr>
          <w:p w:rsidR="00C9613A" w:rsidRPr="00C9613A" w:rsidRDefault="00C9613A" w:rsidP="00C9613A">
            <w:pPr>
              <w:spacing w:line="276" w:lineRule="auto"/>
              <w:rPr>
                <w:sz w:val="16"/>
                <w:szCs w:val="16"/>
              </w:rPr>
            </w:pPr>
            <w:r w:rsidRPr="00C9613A">
              <w:rPr>
                <w:sz w:val="16"/>
                <w:szCs w:val="16"/>
              </w:rPr>
              <w:t>-Analyzed according to intention to treat</w:t>
            </w:r>
          </w:p>
          <w:p w:rsidR="00C9613A" w:rsidRPr="00C9613A" w:rsidRDefault="00C9613A" w:rsidP="00C9613A">
            <w:pPr>
              <w:spacing w:line="276" w:lineRule="auto"/>
              <w:rPr>
                <w:sz w:val="16"/>
                <w:szCs w:val="16"/>
              </w:rPr>
            </w:pPr>
            <w:r w:rsidRPr="00C9613A">
              <w:rPr>
                <w:sz w:val="16"/>
                <w:szCs w:val="16"/>
              </w:rPr>
              <w:t>-Neurodevelopmental assessments at 18 months may not reliably predict later outcomes</w:t>
            </w:r>
          </w:p>
        </w:tc>
      </w:tr>
      <w:tr w:rsidR="00C9613A" w:rsidRPr="00C9613A" w:rsidTr="007C5047">
        <w:tc>
          <w:tcPr>
            <w:tcW w:w="1368" w:type="dxa"/>
          </w:tcPr>
          <w:p w:rsidR="00C9613A" w:rsidRPr="00C9613A" w:rsidRDefault="00C9613A" w:rsidP="00C9613A">
            <w:pPr>
              <w:spacing w:line="276" w:lineRule="auto"/>
              <w:rPr>
                <w:sz w:val="16"/>
                <w:szCs w:val="16"/>
              </w:rPr>
            </w:pPr>
            <w:r w:rsidRPr="00C9613A">
              <w:rPr>
                <w:sz w:val="16"/>
                <w:szCs w:val="16"/>
              </w:rPr>
              <w:t xml:space="preserve">Simbruner et al (2010) </w:t>
            </w:r>
          </w:p>
          <w:p w:rsidR="00C9613A" w:rsidRPr="00C9613A" w:rsidRDefault="00C9613A" w:rsidP="00C9613A">
            <w:pPr>
              <w:spacing w:line="276" w:lineRule="auto"/>
              <w:rPr>
                <w:sz w:val="16"/>
                <w:szCs w:val="16"/>
              </w:rPr>
            </w:pPr>
          </w:p>
          <w:p w:rsidR="00C9613A" w:rsidRPr="00C9613A" w:rsidRDefault="00C9613A" w:rsidP="00C9613A">
            <w:pPr>
              <w:spacing w:line="276" w:lineRule="auto"/>
              <w:rPr>
                <w:i/>
                <w:sz w:val="16"/>
                <w:szCs w:val="16"/>
              </w:rPr>
            </w:pPr>
            <w:r w:rsidRPr="00C9613A">
              <w:rPr>
                <w:i/>
                <w:sz w:val="16"/>
                <w:szCs w:val="16"/>
              </w:rPr>
              <w:t>neo.nEURO</w:t>
            </w:r>
          </w:p>
        </w:tc>
        <w:tc>
          <w:tcPr>
            <w:tcW w:w="1660" w:type="dxa"/>
          </w:tcPr>
          <w:p w:rsidR="00C9613A" w:rsidRPr="00C9613A" w:rsidRDefault="00C9613A" w:rsidP="00C9613A">
            <w:pPr>
              <w:spacing w:line="276" w:lineRule="auto"/>
              <w:rPr>
                <w:sz w:val="16"/>
                <w:szCs w:val="16"/>
              </w:rPr>
            </w:pPr>
            <w:r w:rsidRPr="00C9613A">
              <w:rPr>
                <w:sz w:val="16"/>
                <w:szCs w:val="16"/>
              </w:rPr>
              <w:t>&lt;6h</w:t>
            </w:r>
          </w:p>
          <w:p w:rsidR="00C9613A" w:rsidRPr="00C9613A" w:rsidRDefault="00C9613A" w:rsidP="00C9613A">
            <w:pPr>
              <w:spacing w:line="276" w:lineRule="auto"/>
              <w:rPr>
                <w:sz w:val="16"/>
                <w:szCs w:val="16"/>
              </w:rPr>
            </w:pPr>
            <w:r w:rsidRPr="00C9613A">
              <w:rPr>
                <w:sz w:val="16"/>
                <w:szCs w:val="16"/>
              </w:rPr>
              <w:t>pH &lt;7.0, BE&gt;16</w:t>
            </w:r>
          </w:p>
          <w:p w:rsidR="00C9613A" w:rsidRPr="00C9613A" w:rsidRDefault="00C9613A" w:rsidP="00C9613A">
            <w:pPr>
              <w:spacing w:line="276" w:lineRule="auto"/>
              <w:rPr>
                <w:sz w:val="16"/>
                <w:szCs w:val="16"/>
              </w:rPr>
            </w:pPr>
            <w:r w:rsidRPr="00C9613A">
              <w:rPr>
                <w:sz w:val="16"/>
                <w:szCs w:val="16"/>
              </w:rPr>
              <w:t>Apgar &lt;5 at 10’</w:t>
            </w:r>
          </w:p>
          <w:p w:rsidR="00C9613A" w:rsidRPr="00C9613A" w:rsidRDefault="00C9613A" w:rsidP="00C9613A">
            <w:pPr>
              <w:spacing w:line="276" w:lineRule="auto"/>
              <w:rPr>
                <w:sz w:val="16"/>
                <w:szCs w:val="16"/>
              </w:rPr>
            </w:pPr>
            <w:r w:rsidRPr="00C9613A">
              <w:rPr>
                <w:sz w:val="16"/>
                <w:szCs w:val="16"/>
              </w:rPr>
              <w:t>Abnl aEEG</w:t>
            </w:r>
          </w:p>
        </w:tc>
        <w:tc>
          <w:tcPr>
            <w:tcW w:w="950" w:type="dxa"/>
          </w:tcPr>
          <w:p w:rsidR="00C9613A" w:rsidRPr="00C9613A" w:rsidRDefault="00C9613A" w:rsidP="00C9613A">
            <w:pPr>
              <w:spacing w:line="276" w:lineRule="auto"/>
              <w:rPr>
                <w:sz w:val="16"/>
                <w:szCs w:val="16"/>
              </w:rPr>
            </w:pPr>
            <w:r w:rsidRPr="00C9613A">
              <w:rPr>
                <w:sz w:val="16"/>
                <w:szCs w:val="16"/>
              </w:rPr>
              <w:t>WBC</w:t>
            </w:r>
          </w:p>
        </w:tc>
        <w:tc>
          <w:tcPr>
            <w:tcW w:w="1530" w:type="dxa"/>
          </w:tcPr>
          <w:p w:rsidR="00C9613A" w:rsidRPr="00C9613A" w:rsidRDefault="00C9613A" w:rsidP="00C9613A">
            <w:pPr>
              <w:spacing w:line="276" w:lineRule="auto"/>
              <w:rPr>
                <w:sz w:val="16"/>
                <w:szCs w:val="16"/>
              </w:rPr>
            </w:pPr>
            <w:r w:rsidRPr="00C9613A">
              <w:rPr>
                <w:sz w:val="16"/>
                <w:szCs w:val="16"/>
              </w:rPr>
              <w:t>72 h</w:t>
            </w:r>
          </w:p>
          <w:p w:rsidR="00C9613A" w:rsidRPr="00C9613A" w:rsidRDefault="00C9613A" w:rsidP="00C9613A">
            <w:pPr>
              <w:spacing w:line="276" w:lineRule="auto"/>
              <w:rPr>
                <w:sz w:val="16"/>
                <w:szCs w:val="16"/>
              </w:rPr>
            </w:pPr>
            <w:r w:rsidRPr="00C9613A">
              <w:rPr>
                <w:sz w:val="16"/>
                <w:szCs w:val="16"/>
              </w:rPr>
              <w:t>33-34°C rectal</w:t>
            </w:r>
          </w:p>
        </w:tc>
        <w:tc>
          <w:tcPr>
            <w:tcW w:w="900" w:type="dxa"/>
          </w:tcPr>
          <w:p w:rsidR="00C9613A" w:rsidRPr="00C9613A" w:rsidRDefault="00C9613A" w:rsidP="00C9613A">
            <w:pPr>
              <w:spacing w:line="276" w:lineRule="auto"/>
              <w:rPr>
                <w:sz w:val="16"/>
                <w:szCs w:val="16"/>
              </w:rPr>
            </w:pPr>
            <w:r w:rsidRPr="00C9613A">
              <w:rPr>
                <w:sz w:val="16"/>
                <w:szCs w:val="16"/>
              </w:rPr>
              <w:t>62 (H)</w:t>
            </w:r>
          </w:p>
          <w:p w:rsidR="00C9613A" w:rsidRPr="00C9613A" w:rsidRDefault="00C9613A" w:rsidP="00C9613A">
            <w:pPr>
              <w:spacing w:line="276" w:lineRule="auto"/>
              <w:rPr>
                <w:sz w:val="16"/>
                <w:szCs w:val="16"/>
              </w:rPr>
            </w:pPr>
            <w:r w:rsidRPr="00C9613A">
              <w:rPr>
                <w:sz w:val="16"/>
                <w:szCs w:val="16"/>
              </w:rPr>
              <w:t>63 (N)</w:t>
            </w:r>
          </w:p>
          <w:p w:rsidR="00C9613A" w:rsidRPr="00C9613A" w:rsidRDefault="00C9613A" w:rsidP="00C9613A">
            <w:pPr>
              <w:spacing w:line="276" w:lineRule="auto"/>
              <w:rPr>
                <w:sz w:val="16"/>
                <w:szCs w:val="16"/>
              </w:rPr>
            </w:pPr>
          </w:p>
          <w:p w:rsidR="00C9613A" w:rsidRPr="00C9613A" w:rsidRDefault="00C9613A" w:rsidP="00C9613A">
            <w:pPr>
              <w:spacing w:line="276" w:lineRule="auto"/>
              <w:rPr>
                <w:sz w:val="16"/>
                <w:szCs w:val="16"/>
              </w:rPr>
            </w:pPr>
            <w:r w:rsidRPr="00C9613A">
              <w:rPr>
                <w:sz w:val="16"/>
                <w:szCs w:val="16"/>
              </w:rPr>
              <w:t>LTF:</w:t>
            </w:r>
          </w:p>
          <w:p w:rsidR="00C9613A" w:rsidRPr="00C9613A" w:rsidRDefault="00C9613A" w:rsidP="00C9613A">
            <w:pPr>
              <w:spacing w:line="276" w:lineRule="auto"/>
              <w:rPr>
                <w:sz w:val="16"/>
                <w:szCs w:val="16"/>
              </w:rPr>
            </w:pPr>
            <w:r w:rsidRPr="00C9613A">
              <w:rPr>
                <w:sz w:val="16"/>
                <w:szCs w:val="16"/>
              </w:rPr>
              <w:t>9 (H)</w:t>
            </w:r>
          </w:p>
          <w:p w:rsidR="00C9613A" w:rsidRPr="00C9613A" w:rsidRDefault="00C9613A" w:rsidP="00C9613A">
            <w:pPr>
              <w:spacing w:line="276" w:lineRule="auto"/>
              <w:rPr>
                <w:sz w:val="16"/>
                <w:szCs w:val="16"/>
              </w:rPr>
            </w:pPr>
            <w:r w:rsidRPr="00C9613A">
              <w:rPr>
                <w:sz w:val="16"/>
                <w:szCs w:val="16"/>
              </w:rPr>
              <w:t>5 (N)</w:t>
            </w:r>
          </w:p>
        </w:tc>
        <w:tc>
          <w:tcPr>
            <w:tcW w:w="900" w:type="dxa"/>
          </w:tcPr>
          <w:p w:rsidR="00C9613A" w:rsidRPr="00C9613A" w:rsidRDefault="00C9613A" w:rsidP="00C9613A">
            <w:pPr>
              <w:spacing w:line="276" w:lineRule="auto"/>
              <w:rPr>
                <w:sz w:val="16"/>
                <w:szCs w:val="16"/>
              </w:rPr>
            </w:pPr>
            <w:r w:rsidRPr="00C9613A">
              <w:rPr>
                <w:sz w:val="16"/>
                <w:szCs w:val="16"/>
              </w:rPr>
              <w:t>18 to 21 mth</w:t>
            </w:r>
          </w:p>
        </w:tc>
        <w:tc>
          <w:tcPr>
            <w:tcW w:w="3510" w:type="dxa"/>
          </w:tcPr>
          <w:p w:rsidR="00C9613A" w:rsidRPr="00C9613A" w:rsidRDefault="00C9613A" w:rsidP="00C9613A">
            <w:pPr>
              <w:spacing w:line="276" w:lineRule="auto"/>
              <w:rPr>
                <w:sz w:val="16"/>
                <w:szCs w:val="16"/>
              </w:rPr>
            </w:pPr>
            <w:r w:rsidRPr="00C9613A">
              <w:rPr>
                <w:sz w:val="16"/>
                <w:szCs w:val="16"/>
                <w:u w:val="single"/>
              </w:rPr>
              <w:t>Death or severe disability</w:t>
            </w:r>
            <w:r w:rsidRPr="00C9613A">
              <w:rPr>
                <w:sz w:val="16"/>
                <w:szCs w:val="16"/>
              </w:rPr>
              <w:t>:</w:t>
            </w:r>
          </w:p>
          <w:p w:rsidR="00C9613A" w:rsidRPr="00C9613A" w:rsidRDefault="00C9613A" w:rsidP="00C9613A">
            <w:pPr>
              <w:spacing w:line="276" w:lineRule="auto"/>
              <w:rPr>
                <w:sz w:val="16"/>
                <w:szCs w:val="16"/>
              </w:rPr>
            </w:pPr>
            <w:r w:rsidRPr="00C9613A">
              <w:rPr>
                <w:sz w:val="16"/>
                <w:szCs w:val="16"/>
              </w:rPr>
              <w:t>83% (N) vs 51% (H)*; NNT=4</w:t>
            </w:r>
          </w:p>
          <w:p w:rsidR="00C9613A" w:rsidRPr="00C9613A" w:rsidRDefault="00C9613A" w:rsidP="00C9613A">
            <w:pPr>
              <w:spacing w:line="276" w:lineRule="auto"/>
              <w:rPr>
                <w:sz w:val="16"/>
                <w:szCs w:val="16"/>
              </w:rPr>
            </w:pPr>
            <w:r w:rsidRPr="00C9613A">
              <w:rPr>
                <w:sz w:val="16"/>
                <w:szCs w:val="16"/>
                <w:u w:val="single"/>
              </w:rPr>
              <w:t>Severe neuromotor disability</w:t>
            </w:r>
            <w:r w:rsidRPr="00C9613A">
              <w:rPr>
                <w:sz w:val="16"/>
                <w:szCs w:val="16"/>
              </w:rPr>
              <w:t>:</w:t>
            </w:r>
          </w:p>
          <w:p w:rsidR="00C9613A" w:rsidRPr="00C9613A" w:rsidRDefault="00C9613A" w:rsidP="00C9613A">
            <w:pPr>
              <w:spacing w:line="276" w:lineRule="auto"/>
              <w:rPr>
                <w:sz w:val="16"/>
                <w:szCs w:val="16"/>
              </w:rPr>
            </w:pPr>
            <w:r w:rsidRPr="00C9613A">
              <w:rPr>
                <w:sz w:val="16"/>
                <w:szCs w:val="16"/>
              </w:rPr>
              <w:t>57% (N) vs 21% (H)*;  NNT= 3</w:t>
            </w:r>
          </w:p>
          <w:p w:rsidR="00C9613A" w:rsidRPr="00C9613A" w:rsidRDefault="00C9613A" w:rsidP="00C9613A">
            <w:pPr>
              <w:spacing w:line="276" w:lineRule="auto"/>
              <w:rPr>
                <w:sz w:val="16"/>
                <w:szCs w:val="16"/>
              </w:rPr>
            </w:pPr>
            <w:r w:rsidRPr="00C9613A">
              <w:rPr>
                <w:sz w:val="16"/>
                <w:szCs w:val="16"/>
                <w:u w:val="single"/>
              </w:rPr>
              <w:t>Disabling cerebral palsy</w:t>
            </w:r>
            <w:r w:rsidRPr="00C9613A">
              <w:rPr>
                <w:sz w:val="16"/>
                <w:szCs w:val="16"/>
              </w:rPr>
              <w:t>:</w:t>
            </w:r>
          </w:p>
          <w:p w:rsidR="00C9613A" w:rsidRPr="00C9613A" w:rsidRDefault="00C9613A" w:rsidP="00C9613A">
            <w:pPr>
              <w:spacing w:line="276" w:lineRule="auto"/>
              <w:rPr>
                <w:sz w:val="16"/>
                <w:szCs w:val="16"/>
              </w:rPr>
            </w:pPr>
            <w:r w:rsidRPr="00C9613A">
              <w:rPr>
                <w:sz w:val="16"/>
                <w:szCs w:val="16"/>
              </w:rPr>
              <w:t>48% (N) vs 13% (H)*; NNT = 4</w:t>
            </w:r>
          </w:p>
        </w:tc>
        <w:tc>
          <w:tcPr>
            <w:tcW w:w="3510" w:type="dxa"/>
          </w:tcPr>
          <w:p w:rsidR="00C9613A" w:rsidRPr="00C9613A" w:rsidRDefault="00C9613A" w:rsidP="00C9613A">
            <w:pPr>
              <w:spacing w:line="276" w:lineRule="auto"/>
              <w:rPr>
                <w:sz w:val="16"/>
                <w:szCs w:val="16"/>
              </w:rPr>
            </w:pPr>
            <w:r w:rsidRPr="00C9613A">
              <w:rPr>
                <w:sz w:val="16"/>
                <w:szCs w:val="16"/>
              </w:rPr>
              <w:t>-Analyzed using OR and did not use intention to treat</w:t>
            </w:r>
          </w:p>
          <w:p w:rsidR="00C9613A" w:rsidRPr="00C9613A" w:rsidRDefault="00C9613A" w:rsidP="00C9613A">
            <w:pPr>
              <w:spacing w:line="276" w:lineRule="auto"/>
              <w:rPr>
                <w:sz w:val="16"/>
                <w:szCs w:val="16"/>
              </w:rPr>
            </w:pPr>
            <w:r w:rsidRPr="00C9613A">
              <w:rPr>
                <w:sz w:val="16"/>
                <w:szCs w:val="16"/>
              </w:rPr>
              <w:t>-Large percentage of mortality</w:t>
            </w:r>
          </w:p>
          <w:p w:rsidR="00C9613A" w:rsidRPr="00C9613A" w:rsidRDefault="00C9613A" w:rsidP="00C9613A">
            <w:pPr>
              <w:spacing w:line="276" w:lineRule="auto"/>
              <w:rPr>
                <w:sz w:val="16"/>
                <w:szCs w:val="16"/>
              </w:rPr>
            </w:pPr>
            <w:r w:rsidRPr="00C9613A">
              <w:rPr>
                <w:sz w:val="16"/>
                <w:szCs w:val="16"/>
              </w:rPr>
              <w:t>-Neurodevelopmental assessments at 18 months may not reliably predict later outcomes</w:t>
            </w:r>
          </w:p>
        </w:tc>
      </w:tr>
      <w:tr w:rsidR="00C9613A" w:rsidRPr="00C9613A" w:rsidTr="007C5047">
        <w:tc>
          <w:tcPr>
            <w:tcW w:w="1368" w:type="dxa"/>
          </w:tcPr>
          <w:p w:rsidR="00C9613A" w:rsidRPr="00C9613A" w:rsidRDefault="00C9613A" w:rsidP="00C9613A">
            <w:pPr>
              <w:spacing w:line="276" w:lineRule="auto"/>
              <w:rPr>
                <w:sz w:val="16"/>
                <w:szCs w:val="16"/>
              </w:rPr>
            </w:pPr>
            <w:r w:rsidRPr="00C9613A">
              <w:rPr>
                <w:sz w:val="16"/>
                <w:szCs w:val="16"/>
              </w:rPr>
              <w:t>Jacobs et al (2011)</w:t>
            </w:r>
          </w:p>
        </w:tc>
        <w:tc>
          <w:tcPr>
            <w:tcW w:w="1660" w:type="dxa"/>
          </w:tcPr>
          <w:p w:rsidR="00C9613A" w:rsidRPr="00C9613A" w:rsidRDefault="00C9613A" w:rsidP="00C9613A">
            <w:pPr>
              <w:spacing w:line="276" w:lineRule="auto"/>
              <w:rPr>
                <w:sz w:val="16"/>
                <w:szCs w:val="16"/>
              </w:rPr>
            </w:pPr>
            <w:r w:rsidRPr="00C9613A">
              <w:rPr>
                <w:sz w:val="16"/>
                <w:szCs w:val="16"/>
              </w:rPr>
              <w:t>&lt;6 h</w:t>
            </w:r>
          </w:p>
          <w:p w:rsidR="00C9613A" w:rsidRPr="00C9613A" w:rsidRDefault="00C9613A" w:rsidP="00C9613A">
            <w:pPr>
              <w:spacing w:line="276" w:lineRule="auto"/>
              <w:rPr>
                <w:sz w:val="16"/>
                <w:szCs w:val="16"/>
              </w:rPr>
            </w:pPr>
            <w:r w:rsidRPr="00C9613A">
              <w:rPr>
                <w:sz w:val="16"/>
                <w:szCs w:val="16"/>
              </w:rPr>
              <w:t xml:space="preserve">pH&lt;7.0, BE </w:t>
            </w:r>
            <w:r w:rsidRPr="00C9613A">
              <w:rPr>
                <w:sz w:val="16"/>
                <w:szCs w:val="16"/>
                <w:u w:val="single"/>
              </w:rPr>
              <w:t>&gt;</w:t>
            </w:r>
            <w:r w:rsidRPr="00C9613A">
              <w:rPr>
                <w:sz w:val="16"/>
                <w:szCs w:val="16"/>
              </w:rPr>
              <w:t>12</w:t>
            </w:r>
          </w:p>
          <w:p w:rsidR="00C9613A" w:rsidRPr="00C9613A" w:rsidRDefault="00C9613A" w:rsidP="00C9613A">
            <w:pPr>
              <w:spacing w:line="276" w:lineRule="auto"/>
              <w:rPr>
                <w:sz w:val="16"/>
                <w:szCs w:val="16"/>
              </w:rPr>
            </w:pPr>
            <w:r w:rsidRPr="00C9613A">
              <w:rPr>
                <w:sz w:val="16"/>
                <w:szCs w:val="16"/>
              </w:rPr>
              <w:t>Apgar &lt;5 at 10’</w:t>
            </w:r>
          </w:p>
          <w:p w:rsidR="00C9613A" w:rsidRPr="00C9613A" w:rsidRDefault="00C9613A" w:rsidP="00C9613A">
            <w:pPr>
              <w:spacing w:line="276" w:lineRule="auto"/>
              <w:rPr>
                <w:sz w:val="16"/>
                <w:szCs w:val="16"/>
              </w:rPr>
            </w:pPr>
            <w:r w:rsidRPr="00C9613A">
              <w:rPr>
                <w:sz w:val="16"/>
                <w:szCs w:val="16"/>
              </w:rPr>
              <w:t>Clinical enceph</w:t>
            </w:r>
          </w:p>
        </w:tc>
        <w:tc>
          <w:tcPr>
            <w:tcW w:w="950" w:type="dxa"/>
          </w:tcPr>
          <w:p w:rsidR="00C9613A" w:rsidRPr="00C9613A" w:rsidRDefault="00C9613A" w:rsidP="00C9613A">
            <w:pPr>
              <w:spacing w:line="276" w:lineRule="auto"/>
              <w:rPr>
                <w:sz w:val="16"/>
                <w:szCs w:val="16"/>
              </w:rPr>
            </w:pPr>
            <w:r w:rsidRPr="00C9613A">
              <w:rPr>
                <w:sz w:val="16"/>
                <w:szCs w:val="16"/>
              </w:rPr>
              <w:t>WBC</w:t>
            </w:r>
          </w:p>
        </w:tc>
        <w:tc>
          <w:tcPr>
            <w:tcW w:w="1530" w:type="dxa"/>
          </w:tcPr>
          <w:p w:rsidR="00C9613A" w:rsidRPr="00C9613A" w:rsidRDefault="00C9613A" w:rsidP="00C9613A">
            <w:pPr>
              <w:spacing w:line="276" w:lineRule="auto"/>
              <w:rPr>
                <w:sz w:val="16"/>
                <w:szCs w:val="16"/>
              </w:rPr>
            </w:pPr>
            <w:r w:rsidRPr="00C9613A">
              <w:rPr>
                <w:sz w:val="16"/>
                <w:szCs w:val="16"/>
              </w:rPr>
              <w:t>72h</w:t>
            </w:r>
          </w:p>
          <w:p w:rsidR="00C9613A" w:rsidRPr="00C9613A" w:rsidRDefault="00C9613A" w:rsidP="00C9613A">
            <w:pPr>
              <w:spacing w:line="276" w:lineRule="auto"/>
              <w:rPr>
                <w:sz w:val="16"/>
                <w:szCs w:val="16"/>
              </w:rPr>
            </w:pPr>
            <w:r w:rsidRPr="00C9613A">
              <w:rPr>
                <w:sz w:val="16"/>
                <w:szCs w:val="16"/>
              </w:rPr>
              <w:t>33-34°C rectal</w:t>
            </w:r>
          </w:p>
        </w:tc>
        <w:tc>
          <w:tcPr>
            <w:tcW w:w="900" w:type="dxa"/>
          </w:tcPr>
          <w:p w:rsidR="00C9613A" w:rsidRPr="00C9613A" w:rsidRDefault="00C9613A" w:rsidP="00C9613A">
            <w:pPr>
              <w:spacing w:line="276" w:lineRule="auto"/>
              <w:rPr>
                <w:sz w:val="16"/>
                <w:szCs w:val="16"/>
              </w:rPr>
            </w:pPr>
            <w:r w:rsidRPr="00C9613A">
              <w:rPr>
                <w:sz w:val="16"/>
                <w:szCs w:val="16"/>
              </w:rPr>
              <w:t>110 (H)</w:t>
            </w:r>
          </w:p>
          <w:p w:rsidR="00C9613A" w:rsidRPr="00C9613A" w:rsidRDefault="00C9613A" w:rsidP="00C9613A">
            <w:pPr>
              <w:spacing w:line="276" w:lineRule="auto"/>
              <w:rPr>
                <w:sz w:val="16"/>
                <w:szCs w:val="16"/>
              </w:rPr>
            </w:pPr>
            <w:r w:rsidRPr="00C9613A">
              <w:rPr>
                <w:sz w:val="16"/>
                <w:szCs w:val="16"/>
              </w:rPr>
              <w:t>111 (N)</w:t>
            </w:r>
          </w:p>
          <w:p w:rsidR="00C9613A" w:rsidRPr="00C9613A" w:rsidRDefault="00C9613A" w:rsidP="00C9613A">
            <w:pPr>
              <w:spacing w:line="276" w:lineRule="auto"/>
              <w:rPr>
                <w:sz w:val="16"/>
                <w:szCs w:val="16"/>
              </w:rPr>
            </w:pPr>
          </w:p>
          <w:p w:rsidR="00C9613A" w:rsidRPr="00C9613A" w:rsidRDefault="00C9613A" w:rsidP="00C9613A">
            <w:pPr>
              <w:spacing w:line="276" w:lineRule="auto"/>
              <w:rPr>
                <w:sz w:val="16"/>
                <w:szCs w:val="16"/>
              </w:rPr>
            </w:pPr>
            <w:r w:rsidRPr="00C9613A">
              <w:rPr>
                <w:sz w:val="16"/>
                <w:szCs w:val="16"/>
              </w:rPr>
              <w:t>LTF:</w:t>
            </w:r>
          </w:p>
          <w:p w:rsidR="00C9613A" w:rsidRPr="00C9613A" w:rsidRDefault="00C9613A" w:rsidP="00C9613A">
            <w:pPr>
              <w:spacing w:line="276" w:lineRule="auto"/>
              <w:rPr>
                <w:sz w:val="16"/>
                <w:szCs w:val="16"/>
              </w:rPr>
            </w:pPr>
            <w:r w:rsidRPr="00C9613A">
              <w:rPr>
                <w:sz w:val="16"/>
                <w:szCs w:val="16"/>
              </w:rPr>
              <w:t>3 (H)</w:t>
            </w:r>
          </w:p>
          <w:p w:rsidR="00C9613A" w:rsidRPr="00C9613A" w:rsidRDefault="00C9613A" w:rsidP="00C9613A">
            <w:pPr>
              <w:spacing w:line="276" w:lineRule="auto"/>
              <w:rPr>
                <w:sz w:val="16"/>
                <w:szCs w:val="16"/>
              </w:rPr>
            </w:pPr>
            <w:r w:rsidRPr="00C9613A">
              <w:rPr>
                <w:sz w:val="16"/>
                <w:szCs w:val="16"/>
              </w:rPr>
              <w:t>10 (N)</w:t>
            </w:r>
          </w:p>
        </w:tc>
        <w:tc>
          <w:tcPr>
            <w:tcW w:w="900" w:type="dxa"/>
          </w:tcPr>
          <w:p w:rsidR="00C9613A" w:rsidRPr="00C9613A" w:rsidRDefault="00C9613A" w:rsidP="00C9613A">
            <w:pPr>
              <w:spacing w:line="276" w:lineRule="auto"/>
              <w:rPr>
                <w:sz w:val="16"/>
                <w:szCs w:val="16"/>
              </w:rPr>
            </w:pPr>
            <w:r w:rsidRPr="00C9613A">
              <w:rPr>
                <w:sz w:val="16"/>
                <w:szCs w:val="16"/>
              </w:rPr>
              <w:t>18 to 21 mth</w:t>
            </w:r>
          </w:p>
        </w:tc>
        <w:tc>
          <w:tcPr>
            <w:tcW w:w="3510" w:type="dxa"/>
          </w:tcPr>
          <w:p w:rsidR="00C9613A" w:rsidRPr="00C9613A" w:rsidRDefault="00C9613A" w:rsidP="00C9613A">
            <w:pPr>
              <w:spacing w:line="276" w:lineRule="auto"/>
              <w:rPr>
                <w:sz w:val="16"/>
                <w:szCs w:val="16"/>
              </w:rPr>
            </w:pPr>
            <w:r w:rsidRPr="00C9613A">
              <w:rPr>
                <w:sz w:val="16"/>
                <w:szCs w:val="16"/>
                <w:u w:val="single"/>
              </w:rPr>
              <w:t>Death or severe disability</w:t>
            </w:r>
            <w:r w:rsidRPr="00C9613A">
              <w:rPr>
                <w:sz w:val="16"/>
                <w:szCs w:val="16"/>
              </w:rPr>
              <w:t>:</w:t>
            </w:r>
          </w:p>
          <w:p w:rsidR="00C9613A" w:rsidRPr="00C9613A" w:rsidRDefault="00C9613A" w:rsidP="00C9613A">
            <w:pPr>
              <w:spacing w:line="276" w:lineRule="auto"/>
              <w:rPr>
                <w:sz w:val="16"/>
                <w:szCs w:val="16"/>
              </w:rPr>
            </w:pPr>
            <w:r w:rsidRPr="00C9613A">
              <w:rPr>
                <w:sz w:val="16"/>
                <w:szCs w:val="16"/>
              </w:rPr>
              <w:t>66% (N) vs 52% (H)*; NNT=7</w:t>
            </w:r>
          </w:p>
          <w:p w:rsidR="00C9613A" w:rsidRPr="00C9613A" w:rsidRDefault="00C9613A" w:rsidP="00C9613A">
            <w:pPr>
              <w:spacing w:line="276" w:lineRule="auto"/>
              <w:rPr>
                <w:sz w:val="16"/>
                <w:szCs w:val="16"/>
              </w:rPr>
            </w:pPr>
            <w:r w:rsidRPr="00C9613A">
              <w:rPr>
                <w:sz w:val="16"/>
                <w:szCs w:val="16"/>
                <w:u w:val="single"/>
              </w:rPr>
              <w:t>Mortality</w:t>
            </w:r>
            <w:r w:rsidRPr="00C9613A">
              <w:rPr>
                <w:sz w:val="16"/>
                <w:szCs w:val="16"/>
              </w:rPr>
              <w:t>:</w:t>
            </w:r>
          </w:p>
          <w:p w:rsidR="00C9613A" w:rsidRPr="00C9613A" w:rsidRDefault="00C9613A" w:rsidP="00C9613A">
            <w:pPr>
              <w:spacing w:line="276" w:lineRule="auto"/>
              <w:rPr>
                <w:sz w:val="16"/>
                <w:szCs w:val="16"/>
              </w:rPr>
            </w:pPr>
            <w:r w:rsidRPr="00C9613A">
              <w:rPr>
                <w:sz w:val="16"/>
                <w:szCs w:val="16"/>
              </w:rPr>
              <w:t>39% (N) vs 25% (H)*; NNT=7</w:t>
            </w:r>
          </w:p>
          <w:p w:rsidR="00C9613A" w:rsidRPr="00C9613A" w:rsidRDefault="00C9613A" w:rsidP="00C9613A">
            <w:pPr>
              <w:spacing w:line="276" w:lineRule="auto"/>
              <w:rPr>
                <w:sz w:val="16"/>
                <w:szCs w:val="16"/>
              </w:rPr>
            </w:pPr>
            <w:r w:rsidRPr="00C9613A">
              <w:rPr>
                <w:sz w:val="16"/>
                <w:szCs w:val="16"/>
                <w:u w:val="single"/>
              </w:rPr>
              <w:t>Survival without neuromotor disability</w:t>
            </w:r>
            <w:r w:rsidRPr="00C9613A">
              <w:rPr>
                <w:sz w:val="16"/>
                <w:szCs w:val="16"/>
              </w:rPr>
              <w:t>:</w:t>
            </w:r>
          </w:p>
          <w:p w:rsidR="00C9613A" w:rsidRPr="00C9613A" w:rsidRDefault="00C9613A" w:rsidP="00C9613A">
            <w:pPr>
              <w:spacing w:line="276" w:lineRule="auto"/>
              <w:rPr>
                <w:sz w:val="16"/>
                <w:szCs w:val="16"/>
              </w:rPr>
            </w:pPr>
            <w:r w:rsidRPr="00C9613A">
              <w:rPr>
                <w:sz w:val="16"/>
                <w:szCs w:val="16"/>
              </w:rPr>
              <w:t>23% (N) vs 40% (H)*; NNT=7</w:t>
            </w:r>
          </w:p>
          <w:p w:rsidR="00C9613A" w:rsidRPr="00C9613A" w:rsidRDefault="00C9613A" w:rsidP="00C9613A">
            <w:pPr>
              <w:spacing w:line="276" w:lineRule="auto"/>
              <w:rPr>
                <w:sz w:val="16"/>
                <w:szCs w:val="16"/>
              </w:rPr>
            </w:pPr>
            <w:r w:rsidRPr="00C9613A">
              <w:rPr>
                <w:sz w:val="16"/>
                <w:szCs w:val="16"/>
                <w:u w:val="single"/>
              </w:rPr>
              <w:t>Multiple neurodevelopmental disabilities</w:t>
            </w:r>
            <w:r w:rsidRPr="00C9613A">
              <w:rPr>
                <w:sz w:val="16"/>
                <w:szCs w:val="16"/>
              </w:rPr>
              <w:t>:</w:t>
            </w:r>
          </w:p>
          <w:p w:rsidR="00C9613A" w:rsidRPr="00C9613A" w:rsidRDefault="00C9613A" w:rsidP="00C9613A">
            <w:pPr>
              <w:spacing w:line="276" w:lineRule="auto"/>
              <w:rPr>
                <w:sz w:val="16"/>
                <w:szCs w:val="16"/>
              </w:rPr>
            </w:pPr>
            <w:r w:rsidRPr="00C9613A">
              <w:rPr>
                <w:sz w:val="16"/>
                <w:szCs w:val="16"/>
              </w:rPr>
              <w:t>42% (N) vs 35% (H);  NNT=14</w:t>
            </w:r>
          </w:p>
          <w:p w:rsidR="00C9613A" w:rsidRPr="00C9613A" w:rsidRDefault="00C9613A" w:rsidP="00C9613A">
            <w:pPr>
              <w:spacing w:line="276" w:lineRule="auto"/>
              <w:rPr>
                <w:sz w:val="16"/>
                <w:szCs w:val="16"/>
              </w:rPr>
            </w:pPr>
            <w:r w:rsidRPr="00C9613A">
              <w:rPr>
                <w:sz w:val="16"/>
                <w:szCs w:val="16"/>
                <w:u w:val="single"/>
              </w:rPr>
              <w:t>Cerebral palsy</w:t>
            </w:r>
            <w:r w:rsidRPr="00C9613A">
              <w:rPr>
                <w:sz w:val="16"/>
                <w:szCs w:val="16"/>
              </w:rPr>
              <w:t>:</w:t>
            </w:r>
          </w:p>
          <w:p w:rsidR="00C9613A" w:rsidRPr="00C9613A" w:rsidRDefault="00C9613A" w:rsidP="00C9613A">
            <w:pPr>
              <w:spacing w:line="276" w:lineRule="auto"/>
              <w:rPr>
                <w:sz w:val="16"/>
                <w:szCs w:val="16"/>
              </w:rPr>
            </w:pPr>
            <w:r w:rsidRPr="00C9613A">
              <w:rPr>
                <w:sz w:val="16"/>
                <w:szCs w:val="16"/>
              </w:rPr>
              <w:t>28% (N) vs 27% (H);  NNT=4</w:t>
            </w:r>
          </w:p>
        </w:tc>
        <w:tc>
          <w:tcPr>
            <w:tcW w:w="3510" w:type="dxa"/>
          </w:tcPr>
          <w:p w:rsidR="00C9613A" w:rsidRPr="00C9613A" w:rsidRDefault="00C9613A" w:rsidP="00C9613A">
            <w:pPr>
              <w:spacing w:line="276" w:lineRule="auto"/>
              <w:rPr>
                <w:sz w:val="16"/>
                <w:szCs w:val="16"/>
              </w:rPr>
            </w:pPr>
            <w:r w:rsidRPr="00C9613A">
              <w:rPr>
                <w:sz w:val="16"/>
                <w:szCs w:val="16"/>
              </w:rPr>
              <w:t>-Analyzed not according to intention to treat</w:t>
            </w:r>
          </w:p>
          <w:p w:rsidR="00C9613A" w:rsidRPr="00C9613A" w:rsidRDefault="00C9613A" w:rsidP="00C9613A">
            <w:pPr>
              <w:spacing w:line="276" w:lineRule="auto"/>
              <w:rPr>
                <w:sz w:val="16"/>
                <w:szCs w:val="16"/>
              </w:rPr>
            </w:pPr>
            <w:r w:rsidRPr="00C9613A">
              <w:rPr>
                <w:sz w:val="16"/>
                <w:szCs w:val="16"/>
              </w:rPr>
              <w:t>-Neurodevelopmental assessments at 18 months may not reliably predict later outcomes</w:t>
            </w:r>
          </w:p>
        </w:tc>
      </w:tr>
      <w:tr w:rsidR="00C9613A" w:rsidRPr="00C9613A" w:rsidTr="007C5047">
        <w:tc>
          <w:tcPr>
            <w:tcW w:w="1368" w:type="dxa"/>
          </w:tcPr>
          <w:p w:rsidR="00C9613A" w:rsidRPr="00C9613A" w:rsidRDefault="00C9613A" w:rsidP="00C9613A">
            <w:pPr>
              <w:spacing w:line="276" w:lineRule="auto"/>
              <w:rPr>
                <w:sz w:val="16"/>
                <w:szCs w:val="16"/>
              </w:rPr>
            </w:pPr>
            <w:r w:rsidRPr="00C9613A">
              <w:rPr>
                <w:sz w:val="16"/>
                <w:szCs w:val="16"/>
              </w:rPr>
              <w:t>Shankaran et al (2008)</w:t>
            </w:r>
          </w:p>
        </w:tc>
        <w:tc>
          <w:tcPr>
            <w:tcW w:w="1660" w:type="dxa"/>
          </w:tcPr>
          <w:p w:rsidR="00C9613A" w:rsidRPr="00C9613A" w:rsidRDefault="00C9613A" w:rsidP="00C9613A">
            <w:pPr>
              <w:spacing w:line="276" w:lineRule="auto"/>
              <w:rPr>
                <w:sz w:val="16"/>
                <w:szCs w:val="16"/>
              </w:rPr>
            </w:pPr>
            <w:r w:rsidRPr="00C9613A">
              <w:rPr>
                <w:sz w:val="16"/>
                <w:szCs w:val="16"/>
              </w:rPr>
              <w:t>&lt;6h</w:t>
            </w:r>
          </w:p>
          <w:p w:rsidR="00C9613A" w:rsidRPr="00C9613A" w:rsidRDefault="00C9613A" w:rsidP="00C9613A">
            <w:pPr>
              <w:spacing w:line="276" w:lineRule="auto"/>
              <w:rPr>
                <w:sz w:val="16"/>
                <w:szCs w:val="16"/>
              </w:rPr>
            </w:pPr>
            <w:r w:rsidRPr="00C9613A">
              <w:rPr>
                <w:sz w:val="16"/>
                <w:szCs w:val="16"/>
              </w:rPr>
              <w:t>pH&lt;7.0, BE&gt;16</w:t>
            </w:r>
          </w:p>
          <w:p w:rsidR="00C9613A" w:rsidRPr="00C9613A" w:rsidRDefault="00C9613A" w:rsidP="00C9613A">
            <w:pPr>
              <w:spacing w:line="276" w:lineRule="auto"/>
              <w:rPr>
                <w:sz w:val="16"/>
                <w:szCs w:val="16"/>
              </w:rPr>
            </w:pPr>
            <w:r w:rsidRPr="00C9613A">
              <w:rPr>
                <w:sz w:val="16"/>
                <w:szCs w:val="16"/>
              </w:rPr>
              <w:t>Clinical enceph</w:t>
            </w:r>
          </w:p>
        </w:tc>
        <w:tc>
          <w:tcPr>
            <w:tcW w:w="950" w:type="dxa"/>
          </w:tcPr>
          <w:p w:rsidR="00C9613A" w:rsidRPr="00C9613A" w:rsidRDefault="00C9613A" w:rsidP="00C9613A">
            <w:pPr>
              <w:spacing w:line="276" w:lineRule="auto"/>
              <w:rPr>
                <w:sz w:val="16"/>
                <w:szCs w:val="16"/>
              </w:rPr>
            </w:pPr>
            <w:r w:rsidRPr="00C9613A">
              <w:rPr>
                <w:sz w:val="16"/>
                <w:szCs w:val="16"/>
              </w:rPr>
              <w:t>WBC</w:t>
            </w:r>
          </w:p>
        </w:tc>
        <w:tc>
          <w:tcPr>
            <w:tcW w:w="1530" w:type="dxa"/>
          </w:tcPr>
          <w:p w:rsidR="00C9613A" w:rsidRPr="00C9613A" w:rsidRDefault="00C9613A" w:rsidP="00C9613A">
            <w:pPr>
              <w:spacing w:line="276" w:lineRule="auto"/>
              <w:rPr>
                <w:sz w:val="16"/>
                <w:szCs w:val="16"/>
              </w:rPr>
            </w:pPr>
            <w:r w:rsidRPr="00C9613A">
              <w:rPr>
                <w:sz w:val="16"/>
                <w:szCs w:val="16"/>
              </w:rPr>
              <w:t>72h</w:t>
            </w:r>
          </w:p>
          <w:p w:rsidR="00C9613A" w:rsidRPr="00C9613A" w:rsidRDefault="00C9613A" w:rsidP="00C9613A">
            <w:pPr>
              <w:spacing w:line="276" w:lineRule="auto"/>
              <w:rPr>
                <w:sz w:val="16"/>
                <w:szCs w:val="16"/>
              </w:rPr>
            </w:pPr>
            <w:r w:rsidRPr="00C9613A">
              <w:rPr>
                <w:sz w:val="16"/>
                <w:szCs w:val="16"/>
              </w:rPr>
              <w:t>33-33.5°C esophageal</w:t>
            </w:r>
          </w:p>
        </w:tc>
        <w:tc>
          <w:tcPr>
            <w:tcW w:w="900" w:type="dxa"/>
          </w:tcPr>
          <w:p w:rsidR="00C9613A" w:rsidRPr="00C9613A" w:rsidRDefault="00C9613A" w:rsidP="00C9613A">
            <w:pPr>
              <w:spacing w:line="276" w:lineRule="auto"/>
              <w:rPr>
                <w:sz w:val="16"/>
                <w:szCs w:val="16"/>
              </w:rPr>
            </w:pPr>
            <w:r w:rsidRPr="00C9613A">
              <w:rPr>
                <w:sz w:val="16"/>
                <w:szCs w:val="16"/>
              </w:rPr>
              <w:t>102 (H)</w:t>
            </w:r>
          </w:p>
          <w:p w:rsidR="00C9613A" w:rsidRPr="00C9613A" w:rsidRDefault="00C9613A" w:rsidP="00C9613A">
            <w:pPr>
              <w:spacing w:line="276" w:lineRule="auto"/>
              <w:rPr>
                <w:sz w:val="16"/>
                <w:szCs w:val="16"/>
              </w:rPr>
            </w:pPr>
            <w:r w:rsidRPr="00C9613A">
              <w:rPr>
                <w:sz w:val="16"/>
                <w:szCs w:val="16"/>
              </w:rPr>
              <w:t>106 (N)</w:t>
            </w:r>
          </w:p>
        </w:tc>
        <w:tc>
          <w:tcPr>
            <w:tcW w:w="900" w:type="dxa"/>
          </w:tcPr>
          <w:p w:rsidR="00C9613A" w:rsidRPr="00C9613A" w:rsidRDefault="00C9613A" w:rsidP="00C9613A">
            <w:pPr>
              <w:spacing w:line="276" w:lineRule="auto"/>
              <w:rPr>
                <w:sz w:val="16"/>
                <w:szCs w:val="16"/>
              </w:rPr>
            </w:pPr>
          </w:p>
        </w:tc>
        <w:tc>
          <w:tcPr>
            <w:tcW w:w="3510" w:type="dxa"/>
          </w:tcPr>
          <w:p w:rsidR="00C9613A" w:rsidRPr="00C9613A" w:rsidRDefault="00C9613A" w:rsidP="00C9613A">
            <w:pPr>
              <w:spacing w:line="276" w:lineRule="auto"/>
              <w:rPr>
                <w:sz w:val="16"/>
                <w:szCs w:val="16"/>
                <w:u w:val="single"/>
              </w:rPr>
            </w:pPr>
            <w:r w:rsidRPr="00C9613A">
              <w:rPr>
                <w:sz w:val="16"/>
                <w:szCs w:val="16"/>
              </w:rPr>
              <w:t xml:space="preserve">Acute outcome looking at adverse effects: </w:t>
            </w:r>
            <w:r w:rsidRPr="00C9613A">
              <w:rPr>
                <w:sz w:val="16"/>
                <w:szCs w:val="16"/>
                <w:u w:val="single"/>
              </w:rPr>
              <w:t xml:space="preserve">Not statistically or clinically significant </w:t>
            </w:r>
          </w:p>
          <w:p w:rsidR="00C9613A" w:rsidRPr="00C9613A" w:rsidRDefault="00C9613A" w:rsidP="00C9613A">
            <w:pPr>
              <w:spacing w:line="276" w:lineRule="auto"/>
              <w:rPr>
                <w:sz w:val="16"/>
                <w:szCs w:val="16"/>
              </w:rPr>
            </w:pPr>
          </w:p>
        </w:tc>
        <w:tc>
          <w:tcPr>
            <w:tcW w:w="3510" w:type="dxa"/>
          </w:tcPr>
          <w:p w:rsidR="00C9613A" w:rsidRPr="00C9613A" w:rsidRDefault="00C9613A" w:rsidP="00C9613A">
            <w:pPr>
              <w:spacing w:line="276" w:lineRule="auto"/>
              <w:rPr>
                <w:sz w:val="16"/>
                <w:szCs w:val="16"/>
              </w:rPr>
            </w:pPr>
            <w:r w:rsidRPr="00C9613A">
              <w:rPr>
                <w:sz w:val="16"/>
                <w:szCs w:val="16"/>
              </w:rPr>
              <w:t>-Transient decreases in esophageal temperature to &lt;32˚C</w:t>
            </w:r>
          </w:p>
          <w:p w:rsidR="00C9613A" w:rsidRPr="00C9613A" w:rsidRDefault="00C9613A" w:rsidP="00C9613A">
            <w:pPr>
              <w:spacing w:line="276" w:lineRule="auto"/>
              <w:rPr>
                <w:sz w:val="16"/>
                <w:szCs w:val="16"/>
              </w:rPr>
            </w:pPr>
          </w:p>
        </w:tc>
      </w:tr>
      <w:tr w:rsidR="00C9613A" w:rsidRPr="00C9613A" w:rsidTr="007C5047">
        <w:tc>
          <w:tcPr>
            <w:tcW w:w="1368" w:type="dxa"/>
          </w:tcPr>
          <w:p w:rsidR="00C9613A" w:rsidRPr="00C9613A" w:rsidRDefault="00C9613A" w:rsidP="00C9613A">
            <w:pPr>
              <w:spacing w:line="276" w:lineRule="auto"/>
              <w:rPr>
                <w:sz w:val="16"/>
                <w:szCs w:val="16"/>
              </w:rPr>
            </w:pPr>
            <w:r w:rsidRPr="00C9613A">
              <w:rPr>
                <w:sz w:val="16"/>
                <w:szCs w:val="16"/>
              </w:rPr>
              <w:t>Sarkar et al (2009)</w:t>
            </w:r>
          </w:p>
        </w:tc>
        <w:tc>
          <w:tcPr>
            <w:tcW w:w="1660" w:type="dxa"/>
          </w:tcPr>
          <w:p w:rsidR="00C9613A" w:rsidRPr="00C9613A" w:rsidRDefault="00C9613A" w:rsidP="00C9613A">
            <w:pPr>
              <w:spacing w:line="276" w:lineRule="auto"/>
              <w:rPr>
                <w:sz w:val="16"/>
                <w:szCs w:val="16"/>
              </w:rPr>
            </w:pPr>
            <w:r w:rsidRPr="00C9613A">
              <w:rPr>
                <w:sz w:val="16"/>
                <w:szCs w:val="16"/>
              </w:rPr>
              <w:t>&lt;6h</w:t>
            </w:r>
          </w:p>
          <w:p w:rsidR="00C9613A" w:rsidRPr="00C9613A" w:rsidRDefault="00C9613A" w:rsidP="00C9613A">
            <w:pPr>
              <w:spacing w:line="276" w:lineRule="auto"/>
              <w:rPr>
                <w:sz w:val="16"/>
                <w:szCs w:val="16"/>
              </w:rPr>
            </w:pPr>
            <w:r w:rsidRPr="00C9613A">
              <w:rPr>
                <w:sz w:val="16"/>
                <w:szCs w:val="16"/>
              </w:rPr>
              <w:t>pH &lt;7.0, BE &gt;16</w:t>
            </w:r>
          </w:p>
          <w:p w:rsidR="00C9613A" w:rsidRPr="00C9613A" w:rsidRDefault="00C9613A" w:rsidP="00C9613A">
            <w:pPr>
              <w:spacing w:line="276" w:lineRule="auto"/>
              <w:rPr>
                <w:sz w:val="16"/>
                <w:szCs w:val="16"/>
              </w:rPr>
            </w:pPr>
            <w:r w:rsidRPr="00C9613A">
              <w:rPr>
                <w:sz w:val="16"/>
                <w:szCs w:val="16"/>
              </w:rPr>
              <w:t>Apgar &lt;5 at 10’</w:t>
            </w:r>
          </w:p>
          <w:p w:rsidR="00C9613A" w:rsidRPr="00C9613A" w:rsidRDefault="00C9613A" w:rsidP="00C9613A">
            <w:pPr>
              <w:spacing w:line="276" w:lineRule="auto"/>
              <w:rPr>
                <w:sz w:val="16"/>
                <w:szCs w:val="16"/>
              </w:rPr>
            </w:pPr>
            <w:r w:rsidRPr="00C9613A">
              <w:rPr>
                <w:sz w:val="16"/>
                <w:szCs w:val="16"/>
              </w:rPr>
              <w:t>Abnl aEEG or clinical enceph</w:t>
            </w:r>
          </w:p>
        </w:tc>
        <w:tc>
          <w:tcPr>
            <w:tcW w:w="950" w:type="dxa"/>
          </w:tcPr>
          <w:p w:rsidR="00C9613A" w:rsidRPr="00C9613A" w:rsidRDefault="00C9613A" w:rsidP="00C9613A">
            <w:pPr>
              <w:spacing w:line="276" w:lineRule="auto"/>
              <w:rPr>
                <w:sz w:val="16"/>
                <w:szCs w:val="16"/>
              </w:rPr>
            </w:pPr>
            <w:r w:rsidRPr="00C9613A">
              <w:rPr>
                <w:sz w:val="16"/>
                <w:szCs w:val="16"/>
              </w:rPr>
              <w:t>WBC vs SHC</w:t>
            </w:r>
          </w:p>
        </w:tc>
        <w:tc>
          <w:tcPr>
            <w:tcW w:w="1530" w:type="dxa"/>
          </w:tcPr>
          <w:p w:rsidR="00C9613A" w:rsidRPr="00C9613A" w:rsidRDefault="00C9613A" w:rsidP="00C9613A">
            <w:pPr>
              <w:spacing w:line="276" w:lineRule="auto"/>
              <w:rPr>
                <w:sz w:val="16"/>
                <w:szCs w:val="16"/>
              </w:rPr>
            </w:pPr>
            <w:r w:rsidRPr="00C9613A">
              <w:rPr>
                <w:sz w:val="16"/>
                <w:szCs w:val="16"/>
              </w:rPr>
              <w:t>72 h</w:t>
            </w:r>
          </w:p>
          <w:p w:rsidR="00C9613A" w:rsidRPr="00C9613A" w:rsidRDefault="00C9613A" w:rsidP="00C9613A">
            <w:pPr>
              <w:spacing w:line="276" w:lineRule="auto"/>
              <w:rPr>
                <w:sz w:val="16"/>
                <w:szCs w:val="16"/>
              </w:rPr>
            </w:pPr>
            <w:r w:rsidRPr="00C9613A">
              <w:rPr>
                <w:sz w:val="16"/>
                <w:szCs w:val="16"/>
              </w:rPr>
              <w:t>34-35°C</w:t>
            </w:r>
          </w:p>
          <w:p w:rsidR="00C9613A" w:rsidRPr="00C9613A" w:rsidRDefault="00C9613A" w:rsidP="00C9613A">
            <w:pPr>
              <w:spacing w:line="276" w:lineRule="auto"/>
              <w:rPr>
                <w:sz w:val="16"/>
                <w:szCs w:val="16"/>
              </w:rPr>
            </w:pPr>
            <w:r w:rsidRPr="00C9613A">
              <w:rPr>
                <w:sz w:val="16"/>
                <w:szCs w:val="16"/>
              </w:rPr>
              <w:t>(esophageal in WBC group; rectal in SHC group)</w:t>
            </w:r>
          </w:p>
        </w:tc>
        <w:tc>
          <w:tcPr>
            <w:tcW w:w="900" w:type="dxa"/>
          </w:tcPr>
          <w:p w:rsidR="00C9613A" w:rsidRPr="00C9613A" w:rsidRDefault="00C9613A" w:rsidP="00C9613A">
            <w:pPr>
              <w:spacing w:line="276" w:lineRule="auto"/>
              <w:rPr>
                <w:sz w:val="16"/>
                <w:szCs w:val="16"/>
              </w:rPr>
            </w:pPr>
            <w:r w:rsidRPr="00C9613A">
              <w:rPr>
                <w:sz w:val="16"/>
                <w:szCs w:val="16"/>
              </w:rPr>
              <w:t>28 (WBC)</w:t>
            </w:r>
          </w:p>
          <w:p w:rsidR="00C9613A" w:rsidRPr="00C9613A" w:rsidRDefault="00C9613A" w:rsidP="00C9613A">
            <w:pPr>
              <w:spacing w:line="276" w:lineRule="auto"/>
              <w:rPr>
                <w:sz w:val="16"/>
                <w:szCs w:val="16"/>
              </w:rPr>
            </w:pPr>
            <w:r w:rsidRPr="00C9613A">
              <w:rPr>
                <w:sz w:val="16"/>
                <w:szCs w:val="16"/>
              </w:rPr>
              <w:t>31 (SHC)</w:t>
            </w:r>
          </w:p>
        </w:tc>
        <w:tc>
          <w:tcPr>
            <w:tcW w:w="900" w:type="dxa"/>
          </w:tcPr>
          <w:p w:rsidR="00C9613A" w:rsidRPr="00C9613A" w:rsidRDefault="00C9613A" w:rsidP="00C9613A">
            <w:pPr>
              <w:spacing w:line="276" w:lineRule="auto"/>
              <w:rPr>
                <w:sz w:val="16"/>
                <w:szCs w:val="16"/>
              </w:rPr>
            </w:pPr>
            <w:r w:rsidRPr="00C9613A">
              <w:rPr>
                <w:sz w:val="16"/>
                <w:szCs w:val="16"/>
              </w:rPr>
              <w:t>4, 8, 12, 24, 48, 72 hours</w:t>
            </w:r>
          </w:p>
        </w:tc>
        <w:tc>
          <w:tcPr>
            <w:tcW w:w="3510" w:type="dxa"/>
          </w:tcPr>
          <w:p w:rsidR="00C9613A" w:rsidRPr="00C9613A" w:rsidRDefault="00C9613A" w:rsidP="00C9613A">
            <w:pPr>
              <w:spacing w:line="276" w:lineRule="auto"/>
              <w:rPr>
                <w:sz w:val="16"/>
                <w:szCs w:val="16"/>
                <w:u w:val="single"/>
              </w:rPr>
            </w:pPr>
            <w:r w:rsidRPr="00C9613A">
              <w:rPr>
                <w:sz w:val="16"/>
                <w:szCs w:val="16"/>
              </w:rPr>
              <w:t xml:space="preserve">Acute outcome looking at adverse effects: </w:t>
            </w:r>
            <w:r w:rsidRPr="00C9613A">
              <w:rPr>
                <w:sz w:val="16"/>
                <w:szCs w:val="16"/>
                <w:u w:val="single"/>
              </w:rPr>
              <w:t xml:space="preserve">Not statistically or clinically significant </w:t>
            </w:r>
          </w:p>
          <w:p w:rsidR="00C9613A" w:rsidRPr="00C9613A" w:rsidRDefault="00C9613A" w:rsidP="00C9613A">
            <w:pPr>
              <w:spacing w:line="276" w:lineRule="auto"/>
              <w:rPr>
                <w:sz w:val="16"/>
                <w:szCs w:val="16"/>
              </w:rPr>
            </w:pPr>
          </w:p>
        </w:tc>
        <w:tc>
          <w:tcPr>
            <w:tcW w:w="3510" w:type="dxa"/>
          </w:tcPr>
          <w:p w:rsidR="00C9613A" w:rsidRPr="00C9613A" w:rsidRDefault="00C9613A" w:rsidP="00C9613A">
            <w:pPr>
              <w:spacing w:line="276" w:lineRule="auto"/>
              <w:rPr>
                <w:sz w:val="16"/>
                <w:szCs w:val="16"/>
              </w:rPr>
            </w:pPr>
            <w:r w:rsidRPr="00C9613A">
              <w:rPr>
                <w:sz w:val="16"/>
                <w:szCs w:val="16"/>
              </w:rPr>
              <w:t>-Not randomized</w:t>
            </w:r>
          </w:p>
        </w:tc>
      </w:tr>
    </w:tbl>
    <w:p w:rsidR="00946646" w:rsidRDefault="00946646" w:rsidP="00946646">
      <w:pPr>
        <w:spacing w:after="0"/>
        <w:rPr>
          <w:b/>
        </w:rPr>
      </w:pPr>
    </w:p>
    <w:p w:rsidR="00946646" w:rsidRDefault="00946646">
      <w:pPr>
        <w:rPr>
          <w:b/>
        </w:rPr>
        <w:sectPr w:rsidR="00946646" w:rsidSect="00946646">
          <w:pgSz w:w="15840" w:h="12240" w:orient="landscape"/>
          <w:pgMar w:top="720" w:right="720" w:bottom="720" w:left="720" w:header="720" w:footer="720" w:gutter="0"/>
          <w:cols w:space="720"/>
          <w:docGrid w:linePitch="360"/>
        </w:sectPr>
      </w:pPr>
    </w:p>
    <w:p w:rsidR="0020184C" w:rsidRDefault="0020184C">
      <w:r>
        <w:rPr>
          <w:b/>
        </w:rPr>
        <w:lastRenderedPageBreak/>
        <w:t>REFERENCES</w:t>
      </w:r>
    </w:p>
    <w:p w:rsidR="00407C06" w:rsidRDefault="00407C06" w:rsidP="00407C06">
      <w:pPr>
        <w:numPr>
          <w:ilvl w:val="0"/>
          <w:numId w:val="2"/>
        </w:numPr>
      </w:pPr>
      <w:r w:rsidRPr="00407C06">
        <w:t xml:space="preserve">Williams CE, Gunn A, Gluckman PD. Time course of intracellular ischemia in sheep. </w:t>
      </w:r>
      <w:r w:rsidRPr="00407C06">
        <w:rPr>
          <w:i/>
          <w:iCs/>
        </w:rPr>
        <w:t>Stroke</w:t>
      </w:r>
      <w:r w:rsidRPr="00407C06">
        <w:t xml:space="preserve"> 1991;22:516-21.</w:t>
      </w:r>
    </w:p>
    <w:p w:rsidR="00F73217" w:rsidRPr="0020184C" w:rsidRDefault="00F73217" w:rsidP="00F73217">
      <w:pPr>
        <w:numPr>
          <w:ilvl w:val="0"/>
          <w:numId w:val="2"/>
        </w:numPr>
      </w:pPr>
      <w:r w:rsidRPr="0020184C">
        <w:t xml:space="preserve">Inder TE, Volpe J.  Mechanisms of perinatal brain injury. </w:t>
      </w:r>
      <w:r w:rsidRPr="0020184C">
        <w:rPr>
          <w:i/>
          <w:iCs/>
        </w:rPr>
        <w:t xml:space="preserve">Seminars in Neonatology </w:t>
      </w:r>
      <w:r w:rsidRPr="0020184C">
        <w:t xml:space="preserve"> 2000;5:3-16.</w:t>
      </w:r>
    </w:p>
    <w:p w:rsidR="00F73217" w:rsidRDefault="00F73217" w:rsidP="00407C06">
      <w:pPr>
        <w:numPr>
          <w:ilvl w:val="0"/>
          <w:numId w:val="2"/>
        </w:numPr>
      </w:pPr>
      <w:r w:rsidRPr="00F73217">
        <w:t xml:space="preserve">Sarnat HB, Sarnat MS. Neonatal encephalopathy following fetal distress: A clinical and electroencphalographic study. </w:t>
      </w:r>
      <w:r w:rsidRPr="00F73217">
        <w:rPr>
          <w:i/>
          <w:iCs/>
        </w:rPr>
        <w:t>Archives of Neur</w:t>
      </w:r>
      <w:r w:rsidRPr="00F73217">
        <w:t xml:space="preserve"> 1976;33:696-705.</w:t>
      </w:r>
    </w:p>
    <w:p w:rsidR="0020184C" w:rsidRPr="0020184C" w:rsidRDefault="00407C06" w:rsidP="00F73217">
      <w:pPr>
        <w:numPr>
          <w:ilvl w:val="0"/>
          <w:numId w:val="2"/>
        </w:numPr>
      </w:pPr>
      <w:r w:rsidRPr="00407C06">
        <w:t xml:space="preserve">Edwards AD, Yue X, Squier MV, et al. Specific inhibition of apoptosis after cerebral hypoxic-ischemia by moderate post-insult hypothermia. </w:t>
      </w:r>
      <w:r w:rsidRPr="00407C06">
        <w:rPr>
          <w:i/>
          <w:iCs/>
        </w:rPr>
        <w:t>Biochemical and Biophysical research communications</w:t>
      </w:r>
      <w:r w:rsidRPr="00407C06">
        <w:t xml:space="preserve"> 1995; 217:1193-9.</w:t>
      </w:r>
    </w:p>
    <w:p w:rsidR="0020184C" w:rsidRPr="0020184C" w:rsidRDefault="0020184C" w:rsidP="0020184C">
      <w:pPr>
        <w:numPr>
          <w:ilvl w:val="0"/>
          <w:numId w:val="2"/>
        </w:numPr>
      </w:pPr>
      <w:r w:rsidRPr="0020184C">
        <w:t>James SE, Hunt R, Tarnow-Mordi WO, et al. Cooling for newborns with hypoxic ischaemic encephalopathy (Review).</w:t>
      </w:r>
      <w:r w:rsidRPr="0020184C">
        <w:rPr>
          <w:i/>
          <w:iCs/>
        </w:rPr>
        <w:t xml:space="preserve"> Cochrane Database Syst Rev </w:t>
      </w:r>
      <w:r w:rsidRPr="0020184C">
        <w:t>2008:CD003311.</w:t>
      </w:r>
    </w:p>
    <w:p w:rsidR="00F73217" w:rsidRDefault="00F73217" w:rsidP="0020184C">
      <w:pPr>
        <w:numPr>
          <w:ilvl w:val="0"/>
          <w:numId w:val="2"/>
        </w:numPr>
      </w:pPr>
      <w:r w:rsidRPr="00F73217">
        <w:t>Azzopadi DV, Strohm B, Edwards AD, et al. Moderate hypothermia to treat perinatal asphyxial encephalopathy.</w:t>
      </w:r>
      <w:r w:rsidRPr="00F73217">
        <w:rPr>
          <w:i/>
          <w:iCs/>
        </w:rPr>
        <w:t xml:space="preserve"> N Engl J Med</w:t>
      </w:r>
      <w:r w:rsidRPr="00F73217">
        <w:t xml:space="preserve"> 2009;361:1349-58.</w:t>
      </w:r>
    </w:p>
    <w:p w:rsidR="0020184C" w:rsidRPr="0020184C" w:rsidRDefault="0020184C" w:rsidP="0020184C">
      <w:pPr>
        <w:numPr>
          <w:ilvl w:val="0"/>
          <w:numId w:val="2"/>
        </w:numPr>
      </w:pPr>
      <w:r w:rsidRPr="0020184C">
        <w:t xml:space="preserve">Jacobs SE, Morley CJ, Inder TE, et al. Whole-body hypothermia for term and near-term newborns with hypoxic-ischemic encephalopathy. </w:t>
      </w:r>
      <w:r w:rsidRPr="0020184C">
        <w:rPr>
          <w:i/>
          <w:iCs/>
        </w:rPr>
        <w:t>Arch Pediatr Adolesc Med</w:t>
      </w:r>
      <w:r w:rsidRPr="0020184C">
        <w:t xml:space="preserve"> 2011;165(8):692-700.</w:t>
      </w:r>
    </w:p>
    <w:p w:rsidR="00F73217" w:rsidRDefault="00F73217" w:rsidP="00F73217">
      <w:pPr>
        <w:numPr>
          <w:ilvl w:val="0"/>
          <w:numId w:val="2"/>
        </w:numPr>
      </w:pPr>
      <w:r w:rsidRPr="0020184C">
        <w:t xml:space="preserve">Simbruner G, Mittal RA, Rohlmann F, et al. Systemic hypothermia after neonatal encephalopathy: outcomes of neo.nEURO.network RCT. </w:t>
      </w:r>
      <w:r w:rsidRPr="0020184C">
        <w:rPr>
          <w:i/>
          <w:iCs/>
        </w:rPr>
        <w:t xml:space="preserve">Pediatrics </w:t>
      </w:r>
      <w:r w:rsidRPr="0020184C">
        <w:t>2010;126:e771-8.</w:t>
      </w:r>
    </w:p>
    <w:p w:rsidR="00F73217" w:rsidRPr="0020184C" w:rsidRDefault="00F73217" w:rsidP="00F73217">
      <w:pPr>
        <w:numPr>
          <w:ilvl w:val="0"/>
          <w:numId w:val="2"/>
        </w:numPr>
      </w:pPr>
      <w:r w:rsidRPr="0020184C">
        <w:t xml:space="preserve">Shankaran S, Pappas A, Laptook AR, et al. Outcomes of safety and effectiveness in a multicenter randomized, controlled trial of whole-body hypothermia for neonatal hypoxic-ischemic encephalopathy. </w:t>
      </w:r>
      <w:r w:rsidRPr="0020184C">
        <w:rPr>
          <w:i/>
          <w:iCs/>
        </w:rPr>
        <w:t>Pediatrics</w:t>
      </w:r>
      <w:r w:rsidRPr="0020184C">
        <w:t xml:space="preserve"> 2008;122:e791-8.</w:t>
      </w:r>
    </w:p>
    <w:p w:rsidR="00F73217" w:rsidRDefault="00F73217" w:rsidP="00F73217">
      <w:pPr>
        <w:numPr>
          <w:ilvl w:val="0"/>
          <w:numId w:val="2"/>
        </w:numPr>
      </w:pPr>
      <w:r w:rsidRPr="0020184C">
        <w:t>Sarkar S, Barks JD, Bhagat I, et al. Effects of therapeutic hypothermia on multiorgan dysfunction in asphyxiated newborns: whole-body cooling versus selective head cooling.</w:t>
      </w:r>
      <w:r w:rsidRPr="0020184C">
        <w:rPr>
          <w:i/>
          <w:iCs/>
        </w:rPr>
        <w:t xml:space="preserve"> Journal of Perinatology</w:t>
      </w:r>
      <w:r w:rsidRPr="0020184C">
        <w:t>. 2009;29:558-63.</w:t>
      </w:r>
    </w:p>
    <w:p w:rsidR="0020184C" w:rsidRPr="0020184C" w:rsidRDefault="0020184C" w:rsidP="0020184C">
      <w:pPr>
        <w:numPr>
          <w:ilvl w:val="0"/>
          <w:numId w:val="2"/>
        </w:numPr>
      </w:pPr>
      <w:r w:rsidRPr="0020184C">
        <w:t xml:space="preserve">Odd DE, Whitelaw A, Gunnell D, et al. The association between birth condition and neuropsychological functioning and educational attainment at school age: a cohort study. </w:t>
      </w:r>
      <w:r w:rsidRPr="0020184C">
        <w:rPr>
          <w:i/>
          <w:iCs/>
        </w:rPr>
        <w:t>Arch Dis Child</w:t>
      </w:r>
      <w:r w:rsidRPr="0020184C">
        <w:t xml:space="preserve"> 2011;96:30-7.</w:t>
      </w:r>
    </w:p>
    <w:p w:rsidR="0020184C" w:rsidRPr="0020184C" w:rsidRDefault="0020184C" w:rsidP="0020184C">
      <w:pPr>
        <w:numPr>
          <w:ilvl w:val="0"/>
          <w:numId w:val="2"/>
        </w:numPr>
      </w:pPr>
      <w:r w:rsidRPr="0020184C">
        <w:t>Robertson CMT, Perlman M. Follow-up of the term infant after hypoxic-ischemic encephalopathy</w:t>
      </w:r>
      <w:r w:rsidRPr="0020184C">
        <w:rPr>
          <w:i/>
          <w:iCs/>
        </w:rPr>
        <w:t>. Paediatr Child Health</w:t>
      </w:r>
      <w:r w:rsidRPr="0020184C">
        <w:t xml:space="preserve"> 2006;11(5):278-82.</w:t>
      </w:r>
    </w:p>
    <w:p w:rsidR="0020184C" w:rsidRDefault="0020184C" w:rsidP="00F73217"/>
    <w:sectPr w:rsidR="0020184C" w:rsidSect="0094664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art9472"/>
      </v:shape>
    </w:pict>
  </w:numPicBullet>
  <w:abstractNum w:abstractNumId="0">
    <w:nsid w:val="278E2170"/>
    <w:multiLevelType w:val="hybridMultilevel"/>
    <w:tmpl w:val="FC68ABA4"/>
    <w:lvl w:ilvl="0" w:tplc="04090001">
      <w:start w:val="1"/>
      <w:numFmt w:val="bullet"/>
      <w:lvlText w:val=""/>
      <w:lvlJc w:val="left"/>
      <w:pPr>
        <w:tabs>
          <w:tab w:val="num" w:pos="720"/>
        </w:tabs>
        <w:ind w:left="720" w:hanging="360"/>
      </w:pPr>
      <w:rPr>
        <w:rFonts w:ascii="Symbol" w:hAnsi="Symbol" w:hint="default"/>
      </w:rPr>
    </w:lvl>
    <w:lvl w:ilvl="1" w:tplc="E904F80C" w:tentative="1">
      <w:start w:val="1"/>
      <w:numFmt w:val="bullet"/>
      <w:lvlText w:val=""/>
      <w:lvlJc w:val="left"/>
      <w:pPr>
        <w:tabs>
          <w:tab w:val="num" w:pos="1440"/>
        </w:tabs>
        <w:ind w:left="1440" w:hanging="360"/>
      </w:pPr>
      <w:rPr>
        <w:rFonts w:ascii="Wingdings 2" w:hAnsi="Wingdings 2" w:hint="default"/>
      </w:rPr>
    </w:lvl>
    <w:lvl w:ilvl="2" w:tplc="822A0C26" w:tentative="1">
      <w:start w:val="1"/>
      <w:numFmt w:val="bullet"/>
      <w:lvlText w:val=""/>
      <w:lvlJc w:val="left"/>
      <w:pPr>
        <w:tabs>
          <w:tab w:val="num" w:pos="2160"/>
        </w:tabs>
        <w:ind w:left="2160" w:hanging="360"/>
      </w:pPr>
      <w:rPr>
        <w:rFonts w:ascii="Wingdings 2" w:hAnsi="Wingdings 2" w:hint="default"/>
      </w:rPr>
    </w:lvl>
    <w:lvl w:ilvl="3" w:tplc="65307FD6" w:tentative="1">
      <w:start w:val="1"/>
      <w:numFmt w:val="bullet"/>
      <w:lvlText w:val=""/>
      <w:lvlJc w:val="left"/>
      <w:pPr>
        <w:tabs>
          <w:tab w:val="num" w:pos="2880"/>
        </w:tabs>
        <w:ind w:left="2880" w:hanging="360"/>
      </w:pPr>
      <w:rPr>
        <w:rFonts w:ascii="Wingdings 2" w:hAnsi="Wingdings 2" w:hint="default"/>
      </w:rPr>
    </w:lvl>
    <w:lvl w:ilvl="4" w:tplc="C4E88C7E" w:tentative="1">
      <w:start w:val="1"/>
      <w:numFmt w:val="bullet"/>
      <w:lvlText w:val=""/>
      <w:lvlJc w:val="left"/>
      <w:pPr>
        <w:tabs>
          <w:tab w:val="num" w:pos="3600"/>
        </w:tabs>
        <w:ind w:left="3600" w:hanging="360"/>
      </w:pPr>
      <w:rPr>
        <w:rFonts w:ascii="Wingdings 2" w:hAnsi="Wingdings 2" w:hint="default"/>
      </w:rPr>
    </w:lvl>
    <w:lvl w:ilvl="5" w:tplc="21A89928" w:tentative="1">
      <w:start w:val="1"/>
      <w:numFmt w:val="bullet"/>
      <w:lvlText w:val=""/>
      <w:lvlJc w:val="left"/>
      <w:pPr>
        <w:tabs>
          <w:tab w:val="num" w:pos="4320"/>
        </w:tabs>
        <w:ind w:left="4320" w:hanging="360"/>
      </w:pPr>
      <w:rPr>
        <w:rFonts w:ascii="Wingdings 2" w:hAnsi="Wingdings 2" w:hint="default"/>
      </w:rPr>
    </w:lvl>
    <w:lvl w:ilvl="6" w:tplc="1FBE3616" w:tentative="1">
      <w:start w:val="1"/>
      <w:numFmt w:val="bullet"/>
      <w:lvlText w:val=""/>
      <w:lvlJc w:val="left"/>
      <w:pPr>
        <w:tabs>
          <w:tab w:val="num" w:pos="5040"/>
        </w:tabs>
        <w:ind w:left="5040" w:hanging="360"/>
      </w:pPr>
      <w:rPr>
        <w:rFonts w:ascii="Wingdings 2" w:hAnsi="Wingdings 2" w:hint="default"/>
      </w:rPr>
    </w:lvl>
    <w:lvl w:ilvl="7" w:tplc="6FC452BA" w:tentative="1">
      <w:start w:val="1"/>
      <w:numFmt w:val="bullet"/>
      <w:lvlText w:val=""/>
      <w:lvlJc w:val="left"/>
      <w:pPr>
        <w:tabs>
          <w:tab w:val="num" w:pos="5760"/>
        </w:tabs>
        <w:ind w:left="5760" w:hanging="360"/>
      </w:pPr>
      <w:rPr>
        <w:rFonts w:ascii="Wingdings 2" w:hAnsi="Wingdings 2" w:hint="default"/>
      </w:rPr>
    </w:lvl>
    <w:lvl w:ilvl="8" w:tplc="3766BDC0" w:tentative="1">
      <w:start w:val="1"/>
      <w:numFmt w:val="bullet"/>
      <w:lvlText w:val=""/>
      <w:lvlJc w:val="left"/>
      <w:pPr>
        <w:tabs>
          <w:tab w:val="num" w:pos="6480"/>
        </w:tabs>
        <w:ind w:left="6480" w:hanging="360"/>
      </w:pPr>
      <w:rPr>
        <w:rFonts w:ascii="Wingdings 2" w:hAnsi="Wingdings 2" w:hint="default"/>
      </w:rPr>
    </w:lvl>
  </w:abstractNum>
  <w:abstractNum w:abstractNumId="1">
    <w:nsid w:val="6A4109C7"/>
    <w:multiLevelType w:val="hybridMultilevel"/>
    <w:tmpl w:val="8B82610A"/>
    <w:lvl w:ilvl="0" w:tplc="562E8C34">
      <w:start w:val="1"/>
      <w:numFmt w:val="bullet"/>
      <w:lvlText w:val=""/>
      <w:lvlPicBulletId w:val="0"/>
      <w:lvlJc w:val="left"/>
      <w:pPr>
        <w:tabs>
          <w:tab w:val="num" w:pos="720"/>
        </w:tabs>
        <w:ind w:left="720" w:hanging="360"/>
      </w:pPr>
      <w:rPr>
        <w:rFonts w:ascii="Symbol" w:hAnsi="Symbol" w:hint="default"/>
      </w:rPr>
    </w:lvl>
    <w:lvl w:ilvl="1" w:tplc="3DD6944A">
      <w:start w:val="476"/>
      <w:numFmt w:val="bullet"/>
      <w:lvlText w:val=""/>
      <w:lvlPicBulletId w:val="0"/>
      <w:lvlJc w:val="left"/>
      <w:pPr>
        <w:tabs>
          <w:tab w:val="num" w:pos="1440"/>
        </w:tabs>
        <w:ind w:left="1440" w:hanging="360"/>
      </w:pPr>
      <w:rPr>
        <w:rFonts w:ascii="Symbol" w:hAnsi="Symbol" w:hint="default"/>
      </w:rPr>
    </w:lvl>
    <w:lvl w:ilvl="2" w:tplc="677A4596">
      <w:start w:val="476"/>
      <w:numFmt w:val="bullet"/>
      <w:lvlText w:val=""/>
      <w:lvlPicBulletId w:val="0"/>
      <w:lvlJc w:val="left"/>
      <w:pPr>
        <w:tabs>
          <w:tab w:val="num" w:pos="2160"/>
        </w:tabs>
        <w:ind w:left="2160" w:hanging="360"/>
      </w:pPr>
      <w:rPr>
        <w:rFonts w:ascii="Symbol" w:hAnsi="Symbol" w:hint="default"/>
      </w:rPr>
    </w:lvl>
    <w:lvl w:ilvl="3" w:tplc="EB6E6F6A">
      <w:start w:val="476"/>
      <w:numFmt w:val="bullet"/>
      <w:lvlText w:val=""/>
      <w:lvlPicBulletId w:val="0"/>
      <w:lvlJc w:val="left"/>
      <w:pPr>
        <w:tabs>
          <w:tab w:val="num" w:pos="2880"/>
        </w:tabs>
        <w:ind w:left="2880" w:hanging="360"/>
      </w:pPr>
      <w:rPr>
        <w:rFonts w:ascii="Symbol" w:hAnsi="Symbol" w:hint="default"/>
      </w:rPr>
    </w:lvl>
    <w:lvl w:ilvl="4" w:tplc="BB0AE65E" w:tentative="1">
      <w:start w:val="1"/>
      <w:numFmt w:val="bullet"/>
      <w:lvlText w:val=""/>
      <w:lvlPicBulletId w:val="0"/>
      <w:lvlJc w:val="left"/>
      <w:pPr>
        <w:tabs>
          <w:tab w:val="num" w:pos="3600"/>
        </w:tabs>
        <w:ind w:left="3600" w:hanging="360"/>
      </w:pPr>
      <w:rPr>
        <w:rFonts w:ascii="Symbol" w:hAnsi="Symbol" w:hint="default"/>
      </w:rPr>
    </w:lvl>
    <w:lvl w:ilvl="5" w:tplc="2284805E" w:tentative="1">
      <w:start w:val="1"/>
      <w:numFmt w:val="bullet"/>
      <w:lvlText w:val=""/>
      <w:lvlPicBulletId w:val="0"/>
      <w:lvlJc w:val="left"/>
      <w:pPr>
        <w:tabs>
          <w:tab w:val="num" w:pos="4320"/>
        </w:tabs>
        <w:ind w:left="4320" w:hanging="360"/>
      </w:pPr>
      <w:rPr>
        <w:rFonts w:ascii="Symbol" w:hAnsi="Symbol" w:hint="default"/>
      </w:rPr>
    </w:lvl>
    <w:lvl w:ilvl="6" w:tplc="18EEE56E" w:tentative="1">
      <w:start w:val="1"/>
      <w:numFmt w:val="bullet"/>
      <w:lvlText w:val=""/>
      <w:lvlPicBulletId w:val="0"/>
      <w:lvlJc w:val="left"/>
      <w:pPr>
        <w:tabs>
          <w:tab w:val="num" w:pos="5040"/>
        </w:tabs>
        <w:ind w:left="5040" w:hanging="360"/>
      </w:pPr>
      <w:rPr>
        <w:rFonts w:ascii="Symbol" w:hAnsi="Symbol" w:hint="default"/>
      </w:rPr>
    </w:lvl>
    <w:lvl w:ilvl="7" w:tplc="38929ECE" w:tentative="1">
      <w:start w:val="1"/>
      <w:numFmt w:val="bullet"/>
      <w:lvlText w:val=""/>
      <w:lvlPicBulletId w:val="0"/>
      <w:lvlJc w:val="left"/>
      <w:pPr>
        <w:tabs>
          <w:tab w:val="num" w:pos="5760"/>
        </w:tabs>
        <w:ind w:left="5760" w:hanging="360"/>
      </w:pPr>
      <w:rPr>
        <w:rFonts w:ascii="Symbol" w:hAnsi="Symbol" w:hint="default"/>
      </w:rPr>
    </w:lvl>
    <w:lvl w:ilvl="8" w:tplc="D2F69D8A"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73DE4E7F"/>
    <w:multiLevelType w:val="hybridMultilevel"/>
    <w:tmpl w:val="5DB202B6"/>
    <w:lvl w:ilvl="0" w:tplc="0409000F">
      <w:start w:val="1"/>
      <w:numFmt w:val="decimal"/>
      <w:lvlText w:val="%1."/>
      <w:lvlJc w:val="left"/>
      <w:pPr>
        <w:tabs>
          <w:tab w:val="num" w:pos="720"/>
        </w:tabs>
        <w:ind w:left="720" w:hanging="360"/>
      </w:pPr>
      <w:rPr>
        <w:rFonts w:hint="default"/>
      </w:rPr>
    </w:lvl>
    <w:lvl w:ilvl="1" w:tplc="E904F80C" w:tentative="1">
      <w:start w:val="1"/>
      <w:numFmt w:val="bullet"/>
      <w:lvlText w:val=""/>
      <w:lvlJc w:val="left"/>
      <w:pPr>
        <w:tabs>
          <w:tab w:val="num" w:pos="1440"/>
        </w:tabs>
        <w:ind w:left="1440" w:hanging="360"/>
      </w:pPr>
      <w:rPr>
        <w:rFonts w:ascii="Wingdings 2" w:hAnsi="Wingdings 2" w:hint="default"/>
      </w:rPr>
    </w:lvl>
    <w:lvl w:ilvl="2" w:tplc="822A0C26" w:tentative="1">
      <w:start w:val="1"/>
      <w:numFmt w:val="bullet"/>
      <w:lvlText w:val=""/>
      <w:lvlJc w:val="left"/>
      <w:pPr>
        <w:tabs>
          <w:tab w:val="num" w:pos="2160"/>
        </w:tabs>
        <w:ind w:left="2160" w:hanging="360"/>
      </w:pPr>
      <w:rPr>
        <w:rFonts w:ascii="Wingdings 2" w:hAnsi="Wingdings 2" w:hint="default"/>
      </w:rPr>
    </w:lvl>
    <w:lvl w:ilvl="3" w:tplc="65307FD6" w:tentative="1">
      <w:start w:val="1"/>
      <w:numFmt w:val="bullet"/>
      <w:lvlText w:val=""/>
      <w:lvlJc w:val="left"/>
      <w:pPr>
        <w:tabs>
          <w:tab w:val="num" w:pos="2880"/>
        </w:tabs>
        <w:ind w:left="2880" w:hanging="360"/>
      </w:pPr>
      <w:rPr>
        <w:rFonts w:ascii="Wingdings 2" w:hAnsi="Wingdings 2" w:hint="default"/>
      </w:rPr>
    </w:lvl>
    <w:lvl w:ilvl="4" w:tplc="C4E88C7E" w:tentative="1">
      <w:start w:val="1"/>
      <w:numFmt w:val="bullet"/>
      <w:lvlText w:val=""/>
      <w:lvlJc w:val="left"/>
      <w:pPr>
        <w:tabs>
          <w:tab w:val="num" w:pos="3600"/>
        </w:tabs>
        <w:ind w:left="3600" w:hanging="360"/>
      </w:pPr>
      <w:rPr>
        <w:rFonts w:ascii="Wingdings 2" w:hAnsi="Wingdings 2" w:hint="default"/>
      </w:rPr>
    </w:lvl>
    <w:lvl w:ilvl="5" w:tplc="21A89928" w:tentative="1">
      <w:start w:val="1"/>
      <w:numFmt w:val="bullet"/>
      <w:lvlText w:val=""/>
      <w:lvlJc w:val="left"/>
      <w:pPr>
        <w:tabs>
          <w:tab w:val="num" w:pos="4320"/>
        </w:tabs>
        <w:ind w:left="4320" w:hanging="360"/>
      </w:pPr>
      <w:rPr>
        <w:rFonts w:ascii="Wingdings 2" w:hAnsi="Wingdings 2" w:hint="default"/>
      </w:rPr>
    </w:lvl>
    <w:lvl w:ilvl="6" w:tplc="1FBE3616" w:tentative="1">
      <w:start w:val="1"/>
      <w:numFmt w:val="bullet"/>
      <w:lvlText w:val=""/>
      <w:lvlJc w:val="left"/>
      <w:pPr>
        <w:tabs>
          <w:tab w:val="num" w:pos="5040"/>
        </w:tabs>
        <w:ind w:left="5040" w:hanging="360"/>
      </w:pPr>
      <w:rPr>
        <w:rFonts w:ascii="Wingdings 2" w:hAnsi="Wingdings 2" w:hint="default"/>
      </w:rPr>
    </w:lvl>
    <w:lvl w:ilvl="7" w:tplc="6FC452BA" w:tentative="1">
      <w:start w:val="1"/>
      <w:numFmt w:val="bullet"/>
      <w:lvlText w:val=""/>
      <w:lvlJc w:val="left"/>
      <w:pPr>
        <w:tabs>
          <w:tab w:val="num" w:pos="5760"/>
        </w:tabs>
        <w:ind w:left="5760" w:hanging="360"/>
      </w:pPr>
      <w:rPr>
        <w:rFonts w:ascii="Wingdings 2" w:hAnsi="Wingdings 2" w:hint="default"/>
      </w:rPr>
    </w:lvl>
    <w:lvl w:ilvl="8" w:tplc="3766BDC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C2609"/>
    <w:rsid w:val="0020184C"/>
    <w:rsid w:val="00216732"/>
    <w:rsid w:val="00307D52"/>
    <w:rsid w:val="00310552"/>
    <w:rsid w:val="0031251E"/>
    <w:rsid w:val="00346561"/>
    <w:rsid w:val="00381D6C"/>
    <w:rsid w:val="00407C06"/>
    <w:rsid w:val="004C766D"/>
    <w:rsid w:val="00657BB3"/>
    <w:rsid w:val="00677945"/>
    <w:rsid w:val="006A561A"/>
    <w:rsid w:val="007B1D77"/>
    <w:rsid w:val="00821A95"/>
    <w:rsid w:val="00946646"/>
    <w:rsid w:val="009C2609"/>
    <w:rsid w:val="00A1579D"/>
    <w:rsid w:val="00B33622"/>
    <w:rsid w:val="00B567C7"/>
    <w:rsid w:val="00C9613A"/>
    <w:rsid w:val="00D11059"/>
    <w:rsid w:val="00F72521"/>
    <w:rsid w:val="00F73217"/>
    <w:rsid w:val="00F933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0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9414031">
      <w:bodyDiv w:val="1"/>
      <w:marLeft w:val="0"/>
      <w:marRight w:val="0"/>
      <w:marTop w:val="0"/>
      <w:marBottom w:val="0"/>
      <w:divBdr>
        <w:top w:val="none" w:sz="0" w:space="0" w:color="auto"/>
        <w:left w:val="none" w:sz="0" w:space="0" w:color="auto"/>
        <w:bottom w:val="none" w:sz="0" w:space="0" w:color="auto"/>
        <w:right w:val="none" w:sz="0" w:space="0" w:color="auto"/>
      </w:divBdr>
      <w:divsChild>
        <w:div w:id="812530617">
          <w:marLeft w:val="720"/>
          <w:marRight w:val="0"/>
          <w:marTop w:val="0"/>
          <w:marBottom w:val="0"/>
          <w:divBdr>
            <w:top w:val="none" w:sz="0" w:space="0" w:color="auto"/>
            <w:left w:val="none" w:sz="0" w:space="0" w:color="auto"/>
            <w:bottom w:val="none" w:sz="0" w:space="0" w:color="auto"/>
            <w:right w:val="none" w:sz="0" w:space="0" w:color="auto"/>
          </w:divBdr>
        </w:div>
        <w:div w:id="1376544213">
          <w:marLeft w:val="720"/>
          <w:marRight w:val="0"/>
          <w:marTop w:val="0"/>
          <w:marBottom w:val="0"/>
          <w:divBdr>
            <w:top w:val="none" w:sz="0" w:space="0" w:color="auto"/>
            <w:left w:val="none" w:sz="0" w:space="0" w:color="auto"/>
            <w:bottom w:val="none" w:sz="0" w:space="0" w:color="auto"/>
            <w:right w:val="none" w:sz="0" w:space="0" w:color="auto"/>
          </w:divBdr>
        </w:div>
        <w:div w:id="1097944980">
          <w:marLeft w:val="720"/>
          <w:marRight w:val="0"/>
          <w:marTop w:val="0"/>
          <w:marBottom w:val="0"/>
          <w:divBdr>
            <w:top w:val="none" w:sz="0" w:space="0" w:color="auto"/>
            <w:left w:val="none" w:sz="0" w:space="0" w:color="auto"/>
            <w:bottom w:val="none" w:sz="0" w:space="0" w:color="auto"/>
            <w:right w:val="none" w:sz="0" w:space="0" w:color="auto"/>
          </w:divBdr>
        </w:div>
        <w:div w:id="213468888">
          <w:marLeft w:val="720"/>
          <w:marRight w:val="0"/>
          <w:marTop w:val="0"/>
          <w:marBottom w:val="0"/>
          <w:divBdr>
            <w:top w:val="none" w:sz="0" w:space="0" w:color="auto"/>
            <w:left w:val="none" w:sz="0" w:space="0" w:color="auto"/>
            <w:bottom w:val="none" w:sz="0" w:space="0" w:color="auto"/>
            <w:right w:val="none" w:sz="0" w:space="0" w:color="auto"/>
          </w:divBdr>
        </w:div>
        <w:div w:id="1488353480">
          <w:marLeft w:val="1440"/>
          <w:marRight w:val="0"/>
          <w:marTop w:val="0"/>
          <w:marBottom w:val="0"/>
          <w:divBdr>
            <w:top w:val="none" w:sz="0" w:space="0" w:color="auto"/>
            <w:left w:val="none" w:sz="0" w:space="0" w:color="auto"/>
            <w:bottom w:val="none" w:sz="0" w:space="0" w:color="auto"/>
            <w:right w:val="none" w:sz="0" w:space="0" w:color="auto"/>
          </w:divBdr>
        </w:div>
        <w:div w:id="935208386">
          <w:marLeft w:val="2160"/>
          <w:marRight w:val="0"/>
          <w:marTop w:val="0"/>
          <w:marBottom w:val="0"/>
          <w:divBdr>
            <w:top w:val="none" w:sz="0" w:space="0" w:color="auto"/>
            <w:left w:val="none" w:sz="0" w:space="0" w:color="auto"/>
            <w:bottom w:val="none" w:sz="0" w:space="0" w:color="auto"/>
            <w:right w:val="none" w:sz="0" w:space="0" w:color="auto"/>
          </w:divBdr>
        </w:div>
        <w:div w:id="143008063">
          <w:marLeft w:val="2160"/>
          <w:marRight w:val="0"/>
          <w:marTop w:val="0"/>
          <w:marBottom w:val="0"/>
          <w:divBdr>
            <w:top w:val="none" w:sz="0" w:space="0" w:color="auto"/>
            <w:left w:val="none" w:sz="0" w:space="0" w:color="auto"/>
            <w:bottom w:val="none" w:sz="0" w:space="0" w:color="auto"/>
            <w:right w:val="none" w:sz="0" w:space="0" w:color="auto"/>
          </w:divBdr>
        </w:div>
        <w:div w:id="47847354">
          <w:marLeft w:val="2160"/>
          <w:marRight w:val="0"/>
          <w:marTop w:val="0"/>
          <w:marBottom w:val="0"/>
          <w:divBdr>
            <w:top w:val="none" w:sz="0" w:space="0" w:color="auto"/>
            <w:left w:val="none" w:sz="0" w:space="0" w:color="auto"/>
            <w:bottom w:val="none" w:sz="0" w:space="0" w:color="auto"/>
            <w:right w:val="none" w:sz="0" w:space="0" w:color="auto"/>
          </w:divBdr>
        </w:div>
        <w:div w:id="1135374498">
          <w:marLeft w:val="2160"/>
          <w:marRight w:val="0"/>
          <w:marTop w:val="0"/>
          <w:marBottom w:val="0"/>
          <w:divBdr>
            <w:top w:val="none" w:sz="0" w:space="0" w:color="auto"/>
            <w:left w:val="none" w:sz="0" w:space="0" w:color="auto"/>
            <w:bottom w:val="none" w:sz="0" w:space="0" w:color="auto"/>
            <w:right w:val="none" w:sz="0" w:space="0" w:color="auto"/>
          </w:divBdr>
        </w:div>
        <w:div w:id="784497987">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Boykan, Rachel</cp:lastModifiedBy>
  <cp:revision>2</cp:revision>
  <dcterms:created xsi:type="dcterms:W3CDTF">2012-09-24T17:35:00Z</dcterms:created>
  <dcterms:modified xsi:type="dcterms:W3CDTF">2012-09-24T17:35:00Z</dcterms:modified>
</cp:coreProperties>
</file>