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DAC" w:rsidRDefault="004724A0" w:rsidP="00EE49A6">
      <w:pPr>
        <w:jc w:val="center"/>
      </w:pPr>
      <w:r>
        <w:t>The Use of Antipyretic Agents in the Prevention of the Recurrence of Febrile Seizures</w:t>
      </w:r>
    </w:p>
    <w:p w:rsidR="00012EBD" w:rsidRDefault="004724A0" w:rsidP="00EE49A6">
      <w:pPr>
        <w:jc w:val="center"/>
      </w:pPr>
      <w:r>
        <w:t>Kim Derespina</w:t>
      </w:r>
      <w:r w:rsidR="00012EBD">
        <w:t>, PGY-2</w:t>
      </w:r>
    </w:p>
    <w:p w:rsidR="008873A4" w:rsidRDefault="004724A0" w:rsidP="00EE53B6">
      <w:pPr>
        <w:ind w:firstLine="720"/>
      </w:pPr>
      <w:r>
        <w:t xml:space="preserve">Febrile seizures occur in 3-5% of children aged 6 months to 6 years. The recurrence rate is 20-30%. The most common time for recurrence is unclear: recurrence may occur during the same febrile illness or with subsequent febrile illnesses. The etiology of febrile seizures is still unclear, and genetic, viral, and bacterial factors have been suggested. It has been assumed that the key factor associated with febrile seizures is fever, but the exact relation between febrile seizures and fever is still unclear. Many suppose that the administration of antipyretic agents during febrile episodes will prevent seizures and their recurrences by the lowering of the fever. As a result, many parents administer antipyretic agents frequently and often prophylactically in order to prevent febrile seizures.  While antipyretics are for the most part safe, they are not completely benign and have their own associated side effects. </w:t>
      </w:r>
      <w:r w:rsidR="00EE7AFB">
        <w:t xml:space="preserve">Therefore, </w:t>
      </w:r>
      <w:r w:rsidR="00F55AA8">
        <w:t>an extensive review of the literature was completed to determine</w:t>
      </w:r>
      <w:r>
        <w:t xml:space="preserve"> whether the administration of antipyretics during an acute febrile illness prevents children with a history of febrile seizures from having a recurrence. PubMed MESH was searched using the keywords “febrile seizure”, “antipyretic agents”, “acetaminophen”, “ibuprofen”, “non-steroidal anti-inflammatory drug</w:t>
      </w:r>
      <w:r w:rsidR="005F45C5">
        <w:t>,</w:t>
      </w:r>
      <w:r>
        <w:t>”</w:t>
      </w:r>
      <w:r w:rsidR="005F45C5">
        <w:t xml:space="preserve"> yielding</w:t>
      </w:r>
      <w:r>
        <w:t xml:space="preserve"> four studies that were appraised. The studies that were included defined and evaluated clear end-points and were applicable to our patient population. Each of these studies had their own limitations, including small number of patients and loss to follow up; however, they all reached similar conclusions.</w:t>
      </w:r>
      <w:r w:rsidR="002F672A">
        <w:t xml:space="preserve"> </w:t>
      </w:r>
      <w:r w:rsidR="00C30127">
        <w:t>The clinical bottom line</w:t>
      </w:r>
      <w:r w:rsidR="00E02863">
        <w:t xml:space="preserve"> for this topic is that </w:t>
      </w:r>
      <w:r>
        <w:t>antipyretic agents do not prevent th</w:t>
      </w:r>
      <w:r w:rsidR="005F45C5">
        <w:t>e recurrence of febrile seizure</w:t>
      </w:r>
      <w:r>
        <w:t>. It is therefore important to educate and provide appropriate anticipatory guidance to parents, st</w:t>
      </w:r>
      <w:r w:rsidR="005F45C5">
        <w:t>udents, nurses, and physicians in order to avoid the use of unnecessary medications.</w:t>
      </w:r>
    </w:p>
    <w:p w:rsidR="00D50A73" w:rsidRDefault="00D50A73" w:rsidP="006309CF">
      <w:r w:rsidRPr="006309CF">
        <w:rPr>
          <w:b/>
        </w:rPr>
        <w:t>References</w:t>
      </w:r>
      <w:r>
        <w:t>:</w:t>
      </w:r>
    </w:p>
    <w:p w:rsidR="006309CF" w:rsidRPr="006309CF" w:rsidRDefault="006309CF" w:rsidP="006309CF">
      <w:pPr>
        <w:numPr>
          <w:ilvl w:val="0"/>
          <w:numId w:val="3"/>
        </w:numPr>
      </w:pPr>
      <w:r w:rsidRPr="006309CF">
        <w:t>Offringa M &amp; Newton R. Prophylactic drug management for febrile seizures in children (review). The Cochrane Collaboration 2012.</w:t>
      </w:r>
    </w:p>
    <w:p w:rsidR="006309CF" w:rsidRPr="006309CF" w:rsidRDefault="006309CF" w:rsidP="006309CF">
      <w:pPr>
        <w:numPr>
          <w:ilvl w:val="0"/>
          <w:numId w:val="3"/>
        </w:numPr>
      </w:pPr>
      <w:r w:rsidRPr="006309CF">
        <w:t>Schnaiderman D, Lahat E, Sheefer T, et al. Antipyretic effectiveness of acetaminophen in febrile seizures: ongoing versus sporadic usage. Eur J Pediatr 1993; 152: 747-9.</w:t>
      </w:r>
    </w:p>
    <w:p w:rsidR="006309CF" w:rsidRPr="006309CF" w:rsidRDefault="006309CF" w:rsidP="006309CF">
      <w:pPr>
        <w:numPr>
          <w:ilvl w:val="0"/>
          <w:numId w:val="3"/>
        </w:numPr>
      </w:pPr>
      <w:r w:rsidRPr="006309CF">
        <w:t>Steering Committee on Quality Improvement and Management, Subcommittee on Febrile Seizures American Academy of Pediatrics. Febrile seizures: clinical practice guideline for the long-term management of the child with simple febrile seizures. Pediatrics 2008; 121: 1281-6.</w:t>
      </w:r>
    </w:p>
    <w:p w:rsidR="006309CF" w:rsidRPr="006309CF" w:rsidRDefault="006309CF" w:rsidP="006309CF">
      <w:pPr>
        <w:numPr>
          <w:ilvl w:val="0"/>
          <w:numId w:val="3"/>
        </w:numPr>
      </w:pPr>
      <w:r w:rsidRPr="006309CF">
        <w:t>Strengell T, Uhari M, Tarkka R, et al. Antipyretic agents for preventing recurrences of febrile seizures. Arch Pediatr Adolesc Med 2009; 163(9): 799-804.</w:t>
      </w:r>
    </w:p>
    <w:p w:rsidR="00D50A73" w:rsidRDefault="006309CF" w:rsidP="006309CF">
      <w:pPr>
        <w:numPr>
          <w:ilvl w:val="0"/>
          <w:numId w:val="3"/>
        </w:numPr>
      </w:pPr>
      <w:r w:rsidRPr="006309CF">
        <w:t>Van Stuijvenberg M, Derksen-Lubsen G, Steyerberg E.W., et al. Randomized, controlled trial of ibuprofen syrup administered during febrile illnesses to prevent febrile seizure recurrences. Pediatrics 1998; 102(5); e51-8.</w:t>
      </w:r>
    </w:p>
    <w:sectPr w:rsidR="00D50A73" w:rsidSect="00701DAC">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F1060"/>
    <w:multiLevelType w:val="hybridMultilevel"/>
    <w:tmpl w:val="E9A03C48"/>
    <w:lvl w:ilvl="0" w:tplc="FD0EB79E">
      <w:start w:val="1"/>
      <w:numFmt w:val="bullet"/>
      <w:lvlText w:val="•"/>
      <w:lvlJc w:val="left"/>
      <w:pPr>
        <w:tabs>
          <w:tab w:val="num" w:pos="720"/>
        </w:tabs>
        <w:ind w:left="720" w:hanging="360"/>
      </w:pPr>
      <w:rPr>
        <w:rFonts w:ascii="Arial" w:hAnsi="Arial" w:hint="default"/>
      </w:rPr>
    </w:lvl>
    <w:lvl w:ilvl="1" w:tplc="CC28B53C" w:tentative="1">
      <w:start w:val="1"/>
      <w:numFmt w:val="bullet"/>
      <w:lvlText w:val="•"/>
      <w:lvlJc w:val="left"/>
      <w:pPr>
        <w:tabs>
          <w:tab w:val="num" w:pos="1440"/>
        </w:tabs>
        <w:ind w:left="1440" w:hanging="360"/>
      </w:pPr>
      <w:rPr>
        <w:rFonts w:ascii="Arial" w:hAnsi="Arial" w:hint="default"/>
      </w:rPr>
    </w:lvl>
    <w:lvl w:ilvl="2" w:tplc="570E07F6" w:tentative="1">
      <w:start w:val="1"/>
      <w:numFmt w:val="bullet"/>
      <w:lvlText w:val="•"/>
      <w:lvlJc w:val="left"/>
      <w:pPr>
        <w:tabs>
          <w:tab w:val="num" w:pos="2160"/>
        </w:tabs>
        <w:ind w:left="2160" w:hanging="360"/>
      </w:pPr>
      <w:rPr>
        <w:rFonts w:ascii="Arial" w:hAnsi="Arial" w:hint="default"/>
      </w:rPr>
    </w:lvl>
    <w:lvl w:ilvl="3" w:tplc="B48E1924" w:tentative="1">
      <w:start w:val="1"/>
      <w:numFmt w:val="bullet"/>
      <w:lvlText w:val="•"/>
      <w:lvlJc w:val="left"/>
      <w:pPr>
        <w:tabs>
          <w:tab w:val="num" w:pos="2880"/>
        </w:tabs>
        <w:ind w:left="2880" w:hanging="360"/>
      </w:pPr>
      <w:rPr>
        <w:rFonts w:ascii="Arial" w:hAnsi="Arial" w:hint="default"/>
      </w:rPr>
    </w:lvl>
    <w:lvl w:ilvl="4" w:tplc="D4BCF088" w:tentative="1">
      <w:start w:val="1"/>
      <w:numFmt w:val="bullet"/>
      <w:lvlText w:val="•"/>
      <w:lvlJc w:val="left"/>
      <w:pPr>
        <w:tabs>
          <w:tab w:val="num" w:pos="3600"/>
        </w:tabs>
        <w:ind w:left="3600" w:hanging="360"/>
      </w:pPr>
      <w:rPr>
        <w:rFonts w:ascii="Arial" w:hAnsi="Arial" w:hint="default"/>
      </w:rPr>
    </w:lvl>
    <w:lvl w:ilvl="5" w:tplc="53625ACE" w:tentative="1">
      <w:start w:val="1"/>
      <w:numFmt w:val="bullet"/>
      <w:lvlText w:val="•"/>
      <w:lvlJc w:val="left"/>
      <w:pPr>
        <w:tabs>
          <w:tab w:val="num" w:pos="4320"/>
        </w:tabs>
        <w:ind w:left="4320" w:hanging="360"/>
      </w:pPr>
      <w:rPr>
        <w:rFonts w:ascii="Arial" w:hAnsi="Arial" w:hint="default"/>
      </w:rPr>
    </w:lvl>
    <w:lvl w:ilvl="6" w:tplc="F7BA2FCE" w:tentative="1">
      <w:start w:val="1"/>
      <w:numFmt w:val="bullet"/>
      <w:lvlText w:val="•"/>
      <w:lvlJc w:val="left"/>
      <w:pPr>
        <w:tabs>
          <w:tab w:val="num" w:pos="5040"/>
        </w:tabs>
        <w:ind w:left="5040" w:hanging="360"/>
      </w:pPr>
      <w:rPr>
        <w:rFonts w:ascii="Arial" w:hAnsi="Arial" w:hint="default"/>
      </w:rPr>
    </w:lvl>
    <w:lvl w:ilvl="7" w:tplc="6202721E" w:tentative="1">
      <w:start w:val="1"/>
      <w:numFmt w:val="bullet"/>
      <w:lvlText w:val="•"/>
      <w:lvlJc w:val="left"/>
      <w:pPr>
        <w:tabs>
          <w:tab w:val="num" w:pos="5760"/>
        </w:tabs>
        <w:ind w:left="5760" w:hanging="360"/>
      </w:pPr>
      <w:rPr>
        <w:rFonts w:ascii="Arial" w:hAnsi="Arial" w:hint="default"/>
      </w:rPr>
    </w:lvl>
    <w:lvl w:ilvl="8" w:tplc="74FED2E4" w:tentative="1">
      <w:start w:val="1"/>
      <w:numFmt w:val="bullet"/>
      <w:lvlText w:val="•"/>
      <w:lvlJc w:val="left"/>
      <w:pPr>
        <w:tabs>
          <w:tab w:val="num" w:pos="6480"/>
        </w:tabs>
        <w:ind w:left="6480" w:hanging="360"/>
      </w:pPr>
      <w:rPr>
        <w:rFonts w:ascii="Arial" w:hAnsi="Arial" w:hint="default"/>
      </w:rPr>
    </w:lvl>
  </w:abstractNum>
  <w:abstractNum w:abstractNumId="1">
    <w:nsid w:val="51C413C2"/>
    <w:multiLevelType w:val="hybridMultilevel"/>
    <w:tmpl w:val="6C60F82A"/>
    <w:lvl w:ilvl="0" w:tplc="197271AA">
      <w:start w:val="1"/>
      <w:numFmt w:val="bullet"/>
      <w:lvlText w:val="•"/>
      <w:lvlJc w:val="left"/>
      <w:pPr>
        <w:tabs>
          <w:tab w:val="num" w:pos="720"/>
        </w:tabs>
        <w:ind w:left="720" w:hanging="360"/>
      </w:pPr>
      <w:rPr>
        <w:rFonts w:ascii="Arial" w:hAnsi="Arial" w:hint="default"/>
      </w:rPr>
    </w:lvl>
    <w:lvl w:ilvl="1" w:tplc="0C3224DC" w:tentative="1">
      <w:start w:val="1"/>
      <w:numFmt w:val="bullet"/>
      <w:lvlText w:val="•"/>
      <w:lvlJc w:val="left"/>
      <w:pPr>
        <w:tabs>
          <w:tab w:val="num" w:pos="1440"/>
        </w:tabs>
        <w:ind w:left="1440" w:hanging="360"/>
      </w:pPr>
      <w:rPr>
        <w:rFonts w:ascii="Arial" w:hAnsi="Arial" w:hint="default"/>
      </w:rPr>
    </w:lvl>
    <w:lvl w:ilvl="2" w:tplc="586E0124" w:tentative="1">
      <w:start w:val="1"/>
      <w:numFmt w:val="bullet"/>
      <w:lvlText w:val="•"/>
      <w:lvlJc w:val="left"/>
      <w:pPr>
        <w:tabs>
          <w:tab w:val="num" w:pos="2160"/>
        </w:tabs>
        <w:ind w:left="2160" w:hanging="360"/>
      </w:pPr>
      <w:rPr>
        <w:rFonts w:ascii="Arial" w:hAnsi="Arial" w:hint="default"/>
      </w:rPr>
    </w:lvl>
    <w:lvl w:ilvl="3" w:tplc="3B42BBB6" w:tentative="1">
      <w:start w:val="1"/>
      <w:numFmt w:val="bullet"/>
      <w:lvlText w:val="•"/>
      <w:lvlJc w:val="left"/>
      <w:pPr>
        <w:tabs>
          <w:tab w:val="num" w:pos="2880"/>
        </w:tabs>
        <w:ind w:left="2880" w:hanging="360"/>
      </w:pPr>
      <w:rPr>
        <w:rFonts w:ascii="Arial" w:hAnsi="Arial" w:hint="default"/>
      </w:rPr>
    </w:lvl>
    <w:lvl w:ilvl="4" w:tplc="C7802EA8" w:tentative="1">
      <w:start w:val="1"/>
      <w:numFmt w:val="bullet"/>
      <w:lvlText w:val="•"/>
      <w:lvlJc w:val="left"/>
      <w:pPr>
        <w:tabs>
          <w:tab w:val="num" w:pos="3600"/>
        </w:tabs>
        <w:ind w:left="3600" w:hanging="360"/>
      </w:pPr>
      <w:rPr>
        <w:rFonts w:ascii="Arial" w:hAnsi="Arial" w:hint="default"/>
      </w:rPr>
    </w:lvl>
    <w:lvl w:ilvl="5" w:tplc="3E5EFB8C" w:tentative="1">
      <w:start w:val="1"/>
      <w:numFmt w:val="bullet"/>
      <w:lvlText w:val="•"/>
      <w:lvlJc w:val="left"/>
      <w:pPr>
        <w:tabs>
          <w:tab w:val="num" w:pos="4320"/>
        </w:tabs>
        <w:ind w:left="4320" w:hanging="360"/>
      </w:pPr>
      <w:rPr>
        <w:rFonts w:ascii="Arial" w:hAnsi="Arial" w:hint="default"/>
      </w:rPr>
    </w:lvl>
    <w:lvl w:ilvl="6" w:tplc="C6C4D4EC" w:tentative="1">
      <w:start w:val="1"/>
      <w:numFmt w:val="bullet"/>
      <w:lvlText w:val="•"/>
      <w:lvlJc w:val="left"/>
      <w:pPr>
        <w:tabs>
          <w:tab w:val="num" w:pos="5040"/>
        </w:tabs>
        <w:ind w:left="5040" w:hanging="360"/>
      </w:pPr>
      <w:rPr>
        <w:rFonts w:ascii="Arial" w:hAnsi="Arial" w:hint="default"/>
      </w:rPr>
    </w:lvl>
    <w:lvl w:ilvl="7" w:tplc="DD3CF5FE" w:tentative="1">
      <w:start w:val="1"/>
      <w:numFmt w:val="bullet"/>
      <w:lvlText w:val="•"/>
      <w:lvlJc w:val="left"/>
      <w:pPr>
        <w:tabs>
          <w:tab w:val="num" w:pos="5760"/>
        </w:tabs>
        <w:ind w:left="5760" w:hanging="360"/>
      </w:pPr>
      <w:rPr>
        <w:rFonts w:ascii="Arial" w:hAnsi="Arial" w:hint="default"/>
      </w:rPr>
    </w:lvl>
    <w:lvl w:ilvl="8" w:tplc="BA3E53F6" w:tentative="1">
      <w:start w:val="1"/>
      <w:numFmt w:val="bullet"/>
      <w:lvlText w:val="•"/>
      <w:lvlJc w:val="left"/>
      <w:pPr>
        <w:tabs>
          <w:tab w:val="num" w:pos="6480"/>
        </w:tabs>
        <w:ind w:left="6480" w:hanging="360"/>
      </w:pPr>
      <w:rPr>
        <w:rFonts w:ascii="Arial" w:hAnsi="Arial" w:hint="default"/>
      </w:rPr>
    </w:lvl>
  </w:abstractNum>
  <w:abstractNum w:abstractNumId="2">
    <w:nsid w:val="6B4A5234"/>
    <w:multiLevelType w:val="hybridMultilevel"/>
    <w:tmpl w:val="DAFEDD1E"/>
    <w:lvl w:ilvl="0" w:tplc="53566F12">
      <w:start w:val="1"/>
      <w:numFmt w:val="bullet"/>
      <w:lvlText w:val="•"/>
      <w:lvlJc w:val="left"/>
      <w:pPr>
        <w:tabs>
          <w:tab w:val="num" w:pos="720"/>
        </w:tabs>
        <w:ind w:left="720" w:hanging="360"/>
      </w:pPr>
      <w:rPr>
        <w:rFonts w:ascii="Arial" w:hAnsi="Arial" w:hint="default"/>
      </w:rPr>
    </w:lvl>
    <w:lvl w:ilvl="1" w:tplc="8984F772" w:tentative="1">
      <w:start w:val="1"/>
      <w:numFmt w:val="bullet"/>
      <w:lvlText w:val="•"/>
      <w:lvlJc w:val="left"/>
      <w:pPr>
        <w:tabs>
          <w:tab w:val="num" w:pos="1440"/>
        </w:tabs>
        <w:ind w:left="1440" w:hanging="360"/>
      </w:pPr>
      <w:rPr>
        <w:rFonts w:ascii="Arial" w:hAnsi="Arial" w:hint="default"/>
      </w:rPr>
    </w:lvl>
    <w:lvl w:ilvl="2" w:tplc="6D28F63A" w:tentative="1">
      <w:start w:val="1"/>
      <w:numFmt w:val="bullet"/>
      <w:lvlText w:val="•"/>
      <w:lvlJc w:val="left"/>
      <w:pPr>
        <w:tabs>
          <w:tab w:val="num" w:pos="2160"/>
        </w:tabs>
        <w:ind w:left="2160" w:hanging="360"/>
      </w:pPr>
      <w:rPr>
        <w:rFonts w:ascii="Arial" w:hAnsi="Arial" w:hint="default"/>
      </w:rPr>
    </w:lvl>
    <w:lvl w:ilvl="3" w:tplc="DA9E86FC" w:tentative="1">
      <w:start w:val="1"/>
      <w:numFmt w:val="bullet"/>
      <w:lvlText w:val="•"/>
      <w:lvlJc w:val="left"/>
      <w:pPr>
        <w:tabs>
          <w:tab w:val="num" w:pos="2880"/>
        </w:tabs>
        <w:ind w:left="2880" w:hanging="360"/>
      </w:pPr>
      <w:rPr>
        <w:rFonts w:ascii="Arial" w:hAnsi="Arial" w:hint="default"/>
      </w:rPr>
    </w:lvl>
    <w:lvl w:ilvl="4" w:tplc="D74AECF6" w:tentative="1">
      <w:start w:val="1"/>
      <w:numFmt w:val="bullet"/>
      <w:lvlText w:val="•"/>
      <w:lvlJc w:val="left"/>
      <w:pPr>
        <w:tabs>
          <w:tab w:val="num" w:pos="3600"/>
        </w:tabs>
        <w:ind w:left="3600" w:hanging="360"/>
      </w:pPr>
      <w:rPr>
        <w:rFonts w:ascii="Arial" w:hAnsi="Arial" w:hint="default"/>
      </w:rPr>
    </w:lvl>
    <w:lvl w:ilvl="5" w:tplc="1C568602" w:tentative="1">
      <w:start w:val="1"/>
      <w:numFmt w:val="bullet"/>
      <w:lvlText w:val="•"/>
      <w:lvlJc w:val="left"/>
      <w:pPr>
        <w:tabs>
          <w:tab w:val="num" w:pos="4320"/>
        </w:tabs>
        <w:ind w:left="4320" w:hanging="360"/>
      </w:pPr>
      <w:rPr>
        <w:rFonts w:ascii="Arial" w:hAnsi="Arial" w:hint="default"/>
      </w:rPr>
    </w:lvl>
    <w:lvl w:ilvl="6" w:tplc="847C18BA" w:tentative="1">
      <w:start w:val="1"/>
      <w:numFmt w:val="bullet"/>
      <w:lvlText w:val="•"/>
      <w:lvlJc w:val="left"/>
      <w:pPr>
        <w:tabs>
          <w:tab w:val="num" w:pos="5040"/>
        </w:tabs>
        <w:ind w:left="5040" w:hanging="360"/>
      </w:pPr>
      <w:rPr>
        <w:rFonts w:ascii="Arial" w:hAnsi="Arial" w:hint="default"/>
      </w:rPr>
    </w:lvl>
    <w:lvl w:ilvl="7" w:tplc="085AB050" w:tentative="1">
      <w:start w:val="1"/>
      <w:numFmt w:val="bullet"/>
      <w:lvlText w:val="•"/>
      <w:lvlJc w:val="left"/>
      <w:pPr>
        <w:tabs>
          <w:tab w:val="num" w:pos="5760"/>
        </w:tabs>
        <w:ind w:left="5760" w:hanging="360"/>
      </w:pPr>
      <w:rPr>
        <w:rFonts w:ascii="Arial" w:hAnsi="Arial" w:hint="default"/>
      </w:rPr>
    </w:lvl>
    <w:lvl w:ilvl="8" w:tplc="73F0600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EE49A6"/>
    <w:rsid w:val="00012EBD"/>
    <w:rsid w:val="00121503"/>
    <w:rsid w:val="00161A92"/>
    <w:rsid w:val="001D440E"/>
    <w:rsid w:val="002F672A"/>
    <w:rsid w:val="00362287"/>
    <w:rsid w:val="00391231"/>
    <w:rsid w:val="003D6F1E"/>
    <w:rsid w:val="00441C5E"/>
    <w:rsid w:val="004724A0"/>
    <w:rsid w:val="00553608"/>
    <w:rsid w:val="005A4241"/>
    <w:rsid w:val="005D0645"/>
    <w:rsid w:val="005F45C5"/>
    <w:rsid w:val="006309CF"/>
    <w:rsid w:val="006969D8"/>
    <w:rsid w:val="006E62E9"/>
    <w:rsid w:val="00701DAC"/>
    <w:rsid w:val="008873A4"/>
    <w:rsid w:val="008B1155"/>
    <w:rsid w:val="009C2AA5"/>
    <w:rsid w:val="00BA363A"/>
    <w:rsid w:val="00BE6239"/>
    <w:rsid w:val="00C30127"/>
    <w:rsid w:val="00CE20BC"/>
    <w:rsid w:val="00D50A73"/>
    <w:rsid w:val="00DD5FA0"/>
    <w:rsid w:val="00E02863"/>
    <w:rsid w:val="00EE49A6"/>
    <w:rsid w:val="00EE53B6"/>
    <w:rsid w:val="00EE7AFB"/>
    <w:rsid w:val="00F55AA8"/>
    <w:rsid w:val="00F965FD"/>
    <w:rsid w:val="00FB6585"/>
  </w:rsids>
  <m:mathPr>
    <m:mathFont m:val="+mn-c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DAC"/>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F55AA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965F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327395">
      <w:bodyDiv w:val="1"/>
      <w:marLeft w:val="0"/>
      <w:marRight w:val="0"/>
      <w:marTop w:val="0"/>
      <w:marBottom w:val="0"/>
      <w:divBdr>
        <w:top w:val="none" w:sz="0" w:space="0" w:color="auto"/>
        <w:left w:val="none" w:sz="0" w:space="0" w:color="auto"/>
        <w:bottom w:val="none" w:sz="0" w:space="0" w:color="auto"/>
        <w:right w:val="none" w:sz="0" w:space="0" w:color="auto"/>
      </w:divBdr>
      <w:divsChild>
        <w:div w:id="985620064">
          <w:marLeft w:val="547"/>
          <w:marRight w:val="0"/>
          <w:marTop w:val="154"/>
          <w:marBottom w:val="0"/>
          <w:divBdr>
            <w:top w:val="none" w:sz="0" w:space="0" w:color="auto"/>
            <w:left w:val="none" w:sz="0" w:space="0" w:color="auto"/>
            <w:bottom w:val="none" w:sz="0" w:space="0" w:color="auto"/>
            <w:right w:val="none" w:sz="0" w:space="0" w:color="auto"/>
          </w:divBdr>
        </w:div>
        <w:div w:id="525796939">
          <w:marLeft w:val="547"/>
          <w:marRight w:val="0"/>
          <w:marTop w:val="154"/>
          <w:marBottom w:val="0"/>
          <w:divBdr>
            <w:top w:val="none" w:sz="0" w:space="0" w:color="auto"/>
            <w:left w:val="none" w:sz="0" w:space="0" w:color="auto"/>
            <w:bottom w:val="none" w:sz="0" w:space="0" w:color="auto"/>
            <w:right w:val="none" w:sz="0" w:space="0" w:color="auto"/>
          </w:divBdr>
        </w:div>
      </w:divsChild>
    </w:div>
    <w:div w:id="813639455">
      <w:bodyDiv w:val="1"/>
      <w:marLeft w:val="0"/>
      <w:marRight w:val="0"/>
      <w:marTop w:val="0"/>
      <w:marBottom w:val="0"/>
      <w:divBdr>
        <w:top w:val="none" w:sz="0" w:space="0" w:color="auto"/>
        <w:left w:val="none" w:sz="0" w:space="0" w:color="auto"/>
        <w:bottom w:val="none" w:sz="0" w:space="0" w:color="auto"/>
        <w:right w:val="none" w:sz="0" w:space="0" w:color="auto"/>
      </w:divBdr>
      <w:divsChild>
        <w:div w:id="1188177775">
          <w:marLeft w:val="547"/>
          <w:marRight w:val="0"/>
          <w:marTop w:val="77"/>
          <w:marBottom w:val="0"/>
          <w:divBdr>
            <w:top w:val="none" w:sz="0" w:space="0" w:color="auto"/>
            <w:left w:val="none" w:sz="0" w:space="0" w:color="auto"/>
            <w:bottom w:val="none" w:sz="0" w:space="0" w:color="auto"/>
            <w:right w:val="none" w:sz="0" w:space="0" w:color="auto"/>
          </w:divBdr>
        </w:div>
        <w:div w:id="1318536788">
          <w:marLeft w:val="547"/>
          <w:marRight w:val="0"/>
          <w:marTop w:val="77"/>
          <w:marBottom w:val="0"/>
          <w:divBdr>
            <w:top w:val="none" w:sz="0" w:space="0" w:color="auto"/>
            <w:left w:val="none" w:sz="0" w:space="0" w:color="auto"/>
            <w:bottom w:val="none" w:sz="0" w:space="0" w:color="auto"/>
            <w:right w:val="none" w:sz="0" w:space="0" w:color="auto"/>
          </w:divBdr>
        </w:div>
        <w:div w:id="320083735">
          <w:marLeft w:val="547"/>
          <w:marRight w:val="0"/>
          <w:marTop w:val="77"/>
          <w:marBottom w:val="0"/>
          <w:divBdr>
            <w:top w:val="none" w:sz="0" w:space="0" w:color="auto"/>
            <w:left w:val="none" w:sz="0" w:space="0" w:color="auto"/>
            <w:bottom w:val="none" w:sz="0" w:space="0" w:color="auto"/>
            <w:right w:val="none" w:sz="0" w:space="0" w:color="auto"/>
          </w:divBdr>
        </w:div>
        <w:div w:id="1439712369">
          <w:marLeft w:val="547"/>
          <w:marRight w:val="0"/>
          <w:marTop w:val="77"/>
          <w:marBottom w:val="0"/>
          <w:divBdr>
            <w:top w:val="none" w:sz="0" w:space="0" w:color="auto"/>
            <w:left w:val="none" w:sz="0" w:space="0" w:color="auto"/>
            <w:bottom w:val="none" w:sz="0" w:space="0" w:color="auto"/>
            <w:right w:val="none" w:sz="0" w:space="0" w:color="auto"/>
          </w:divBdr>
        </w:div>
        <w:div w:id="834999999">
          <w:marLeft w:val="547"/>
          <w:marRight w:val="0"/>
          <w:marTop w:val="77"/>
          <w:marBottom w:val="0"/>
          <w:divBdr>
            <w:top w:val="none" w:sz="0" w:space="0" w:color="auto"/>
            <w:left w:val="none" w:sz="0" w:space="0" w:color="auto"/>
            <w:bottom w:val="none" w:sz="0" w:space="0" w:color="auto"/>
            <w:right w:val="none" w:sz="0" w:space="0" w:color="auto"/>
          </w:divBdr>
        </w:div>
        <w:div w:id="1014187625">
          <w:marLeft w:val="547"/>
          <w:marRight w:val="0"/>
          <w:marTop w:val="77"/>
          <w:marBottom w:val="0"/>
          <w:divBdr>
            <w:top w:val="none" w:sz="0" w:space="0" w:color="auto"/>
            <w:left w:val="none" w:sz="0" w:space="0" w:color="auto"/>
            <w:bottom w:val="none" w:sz="0" w:space="0" w:color="auto"/>
            <w:right w:val="none" w:sz="0" w:space="0" w:color="auto"/>
          </w:divBdr>
        </w:div>
        <w:div w:id="1508247509">
          <w:marLeft w:val="547"/>
          <w:marRight w:val="0"/>
          <w:marTop w:val="77"/>
          <w:marBottom w:val="0"/>
          <w:divBdr>
            <w:top w:val="none" w:sz="0" w:space="0" w:color="auto"/>
            <w:left w:val="none" w:sz="0" w:space="0" w:color="auto"/>
            <w:bottom w:val="none" w:sz="0" w:space="0" w:color="auto"/>
            <w:right w:val="none" w:sz="0" w:space="0" w:color="auto"/>
          </w:divBdr>
        </w:div>
        <w:div w:id="1965425785">
          <w:marLeft w:val="547"/>
          <w:marRight w:val="0"/>
          <w:marTop w:val="77"/>
          <w:marBottom w:val="0"/>
          <w:divBdr>
            <w:top w:val="none" w:sz="0" w:space="0" w:color="auto"/>
            <w:left w:val="none" w:sz="0" w:space="0" w:color="auto"/>
            <w:bottom w:val="none" w:sz="0" w:space="0" w:color="auto"/>
            <w:right w:val="none" w:sz="0" w:space="0" w:color="auto"/>
          </w:divBdr>
        </w:div>
      </w:divsChild>
    </w:div>
    <w:div w:id="1290353808">
      <w:bodyDiv w:val="1"/>
      <w:marLeft w:val="0"/>
      <w:marRight w:val="0"/>
      <w:marTop w:val="0"/>
      <w:marBottom w:val="0"/>
      <w:divBdr>
        <w:top w:val="none" w:sz="0" w:space="0" w:color="auto"/>
        <w:left w:val="none" w:sz="0" w:space="0" w:color="auto"/>
        <w:bottom w:val="none" w:sz="0" w:space="0" w:color="auto"/>
        <w:right w:val="none" w:sz="0" w:space="0" w:color="auto"/>
      </w:divBdr>
      <w:divsChild>
        <w:div w:id="1262177165">
          <w:marLeft w:val="547"/>
          <w:marRight w:val="0"/>
          <w:marTop w:val="0"/>
          <w:marBottom w:val="0"/>
          <w:divBdr>
            <w:top w:val="none" w:sz="0" w:space="0" w:color="auto"/>
            <w:left w:val="none" w:sz="0" w:space="0" w:color="auto"/>
            <w:bottom w:val="none" w:sz="0" w:space="0" w:color="auto"/>
            <w:right w:val="none" w:sz="0" w:space="0" w:color="auto"/>
          </w:divBdr>
        </w:div>
        <w:div w:id="2013215352">
          <w:marLeft w:val="547"/>
          <w:marRight w:val="0"/>
          <w:marTop w:val="0"/>
          <w:marBottom w:val="0"/>
          <w:divBdr>
            <w:top w:val="none" w:sz="0" w:space="0" w:color="auto"/>
            <w:left w:val="none" w:sz="0" w:space="0" w:color="auto"/>
            <w:bottom w:val="none" w:sz="0" w:space="0" w:color="auto"/>
            <w:right w:val="none" w:sz="0" w:space="0" w:color="auto"/>
          </w:divBdr>
        </w:div>
        <w:div w:id="867335366">
          <w:marLeft w:val="547"/>
          <w:marRight w:val="0"/>
          <w:marTop w:val="0"/>
          <w:marBottom w:val="0"/>
          <w:divBdr>
            <w:top w:val="none" w:sz="0" w:space="0" w:color="auto"/>
            <w:left w:val="none" w:sz="0" w:space="0" w:color="auto"/>
            <w:bottom w:val="none" w:sz="0" w:space="0" w:color="auto"/>
            <w:right w:val="none" w:sz="0" w:space="0" w:color="auto"/>
          </w:divBdr>
        </w:div>
        <w:div w:id="2003390727">
          <w:marLeft w:val="547"/>
          <w:marRight w:val="0"/>
          <w:marTop w:val="0"/>
          <w:marBottom w:val="0"/>
          <w:divBdr>
            <w:top w:val="none" w:sz="0" w:space="0" w:color="auto"/>
            <w:left w:val="none" w:sz="0" w:space="0" w:color="auto"/>
            <w:bottom w:val="none" w:sz="0" w:space="0" w:color="auto"/>
            <w:right w:val="none" w:sz="0" w:space="0" w:color="auto"/>
          </w:divBdr>
        </w:div>
        <w:div w:id="444613559">
          <w:marLeft w:val="547"/>
          <w:marRight w:val="0"/>
          <w:marTop w:val="0"/>
          <w:marBottom w:val="0"/>
          <w:divBdr>
            <w:top w:val="none" w:sz="0" w:space="0" w:color="auto"/>
            <w:left w:val="none" w:sz="0" w:space="0" w:color="auto"/>
            <w:bottom w:val="none" w:sz="0" w:space="0" w:color="auto"/>
            <w:right w:val="none" w:sz="0" w:space="0" w:color="auto"/>
          </w:divBdr>
        </w:div>
      </w:divsChild>
    </w:div>
    <w:div w:id="1358115870">
      <w:bodyDiv w:val="1"/>
      <w:marLeft w:val="0"/>
      <w:marRight w:val="0"/>
      <w:marTop w:val="0"/>
      <w:marBottom w:val="0"/>
      <w:divBdr>
        <w:top w:val="none" w:sz="0" w:space="0" w:color="auto"/>
        <w:left w:val="none" w:sz="0" w:space="0" w:color="auto"/>
        <w:bottom w:val="none" w:sz="0" w:space="0" w:color="auto"/>
        <w:right w:val="none" w:sz="0" w:space="0" w:color="auto"/>
      </w:divBdr>
      <w:divsChild>
        <w:div w:id="400519123">
          <w:marLeft w:val="547"/>
          <w:marRight w:val="0"/>
          <w:marTop w:val="154"/>
          <w:marBottom w:val="0"/>
          <w:divBdr>
            <w:top w:val="none" w:sz="0" w:space="0" w:color="auto"/>
            <w:left w:val="none" w:sz="0" w:space="0" w:color="auto"/>
            <w:bottom w:val="none" w:sz="0" w:space="0" w:color="auto"/>
            <w:right w:val="none" w:sz="0" w:space="0" w:color="auto"/>
          </w:divBdr>
        </w:div>
        <w:div w:id="392237406">
          <w:marLeft w:val="547"/>
          <w:marRight w:val="0"/>
          <w:marTop w:val="154"/>
          <w:marBottom w:val="0"/>
          <w:divBdr>
            <w:top w:val="none" w:sz="0" w:space="0" w:color="auto"/>
            <w:left w:val="none" w:sz="0" w:space="0" w:color="auto"/>
            <w:bottom w:val="none" w:sz="0" w:space="0" w:color="auto"/>
            <w:right w:val="none" w:sz="0" w:space="0" w:color="auto"/>
          </w:divBdr>
        </w:div>
      </w:divsChild>
    </w:div>
    <w:div w:id="1832214379">
      <w:bodyDiv w:val="1"/>
      <w:marLeft w:val="0"/>
      <w:marRight w:val="0"/>
      <w:marTop w:val="0"/>
      <w:marBottom w:val="0"/>
      <w:divBdr>
        <w:top w:val="none" w:sz="0" w:space="0" w:color="auto"/>
        <w:left w:val="none" w:sz="0" w:space="0" w:color="auto"/>
        <w:bottom w:val="none" w:sz="0" w:space="0" w:color="auto"/>
        <w:right w:val="none" w:sz="0" w:space="0" w:color="auto"/>
      </w:divBdr>
    </w:div>
    <w:div w:id="1930499335">
      <w:bodyDiv w:val="1"/>
      <w:marLeft w:val="0"/>
      <w:marRight w:val="0"/>
      <w:marTop w:val="0"/>
      <w:marBottom w:val="0"/>
      <w:divBdr>
        <w:top w:val="none" w:sz="0" w:space="0" w:color="auto"/>
        <w:left w:val="none" w:sz="0" w:space="0" w:color="auto"/>
        <w:bottom w:val="none" w:sz="0" w:space="0" w:color="auto"/>
        <w:right w:val="none" w:sz="0" w:space="0" w:color="auto"/>
      </w:divBdr>
      <w:divsChild>
        <w:div w:id="233705103">
          <w:marLeft w:val="547"/>
          <w:marRight w:val="0"/>
          <w:marTop w:val="154"/>
          <w:marBottom w:val="0"/>
          <w:divBdr>
            <w:top w:val="none" w:sz="0" w:space="0" w:color="auto"/>
            <w:left w:val="none" w:sz="0" w:space="0" w:color="auto"/>
            <w:bottom w:val="none" w:sz="0" w:space="0" w:color="auto"/>
            <w:right w:val="none" w:sz="0" w:space="0" w:color="auto"/>
          </w:divBdr>
        </w:div>
        <w:div w:id="120003787">
          <w:marLeft w:val="547"/>
          <w:marRight w:val="0"/>
          <w:marTop w:val="154"/>
          <w:marBottom w:val="0"/>
          <w:divBdr>
            <w:top w:val="none" w:sz="0" w:space="0" w:color="auto"/>
            <w:left w:val="none" w:sz="0" w:space="0" w:color="auto"/>
            <w:bottom w:val="none" w:sz="0" w:space="0" w:color="auto"/>
            <w:right w:val="none" w:sz="0" w:space="0" w:color="auto"/>
          </w:divBdr>
        </w:div>
        <w:div w:id="571434104">
          <w:marLeft w:val="547"/>
          <w:marRight w:val="0"/>
          <w:marTop w:val="154"/>
          <w:marBottom w:val="0"/>
          <w:divBdr>
            <w:top w:val="none" w:sz="0" w:space="0" w:color="auto"/>
            <w:left w:val="none" w:sz="0" w:space="0" w:color="auto"/>
            <w:bottom w:val="none" w:sz="0" w:space="0" w:color="auto"/>
            <w:right w:val="none" w:sz="0" w:space="0" w:color="auto"/>
          </w:divBdr>
        </w:div>
      </w:divsChild>
    </w:div>
    <w:div w:id="2019458722">
      <w:bodyDiv w:val="1"/>
      <w:marLeft w:val="0"/>
      <w:marRight w:val="0"/>
      <w:marTop w:val="0"/>
      <w:marBottom w:val="0"/>
      <w:divBdr>
        <w:top w:val="none" w:sz="0" w:space="0" w:color="auto"/>
        <w:left w:val="none" w:sz="0" w:space="0" w:color="auto"/>
        <w:bottom w:val="none" w:sz="0" w:space="0" w:color="auto"/>
        <w:right w:val="none" w:sz="0" w:space="0" w:color="auto"/>
      </w:divBdr>
      <w:divsChild>
        <w:div w:id="603342226">
          <w:marLeft w:val="547"/>
          <w:marRight w:val="0"/>
          <w:marTop w:val="154"/>
          <w:marBottom w:val="0"/>
          <w:divBdr>
            <w:top w:val="none" w:sz="0" w:space="0" w:color="auto"/>
            <w:left w:val="none" w:sz="0" w:space="0" w:color="auto"/>
            <w:bottom w:val="none" w:sz="0" w:space="0" w:color="auto"/>
            <w:right w:val="none" w:sz="0" w:space="0" w:color="auto"/>
          </w:divBdr>
        </w:div>
        <w:div w:id="11883995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357</Words>
  <Characters>2040</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Office 2004 Test Drive User</cp:lastModifiedBy>
  <cp:revision>5</cp:revision>
  <dcterms:created xsi:type="dcterms:W3CDTF">2013-01-26T00:02:00Z</dcterms:created>
  <dcterms:modified xsi:type="dcterms:W3CDTF">2013-01-26T00:15:00Z</dcterms:modified>
</cp:coreProperties>
</file>