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65FB8" w14:textId="3BDB1D4F" w:rsidR="0049657D" w:rsidRPr="00ED0F91" w:rsidRDefault="00F20B06" w:rsidP="00CB6C5A">
      <w:pPr>
        <w:spacing w:after="0" w:line="240" w:lineRule="auto"/>
        <w:jc w:val="center"/>
        <w:rPr>
          <w:rFonts w:ascii="Times New Roman" w:hAnsi="Times New Roman" w:cs="Times New Roman"/>
          <w:b/>
          <w:bCs/>
          <w:shd w:val="clear" w:color="auto" w:fill="FFFFFF"/>
        </w:rPr>
      </w:pPr>
      <w:bookmarkStart w:id="0" w:name="_GoBack"/>
      <w:bookmarkEnd w:id="0"/>
      <w:r w:rsidRPr="00ED0F91">
        <w:rPr>
          <w:rFonts w:ascii="Times New Roman" w:hAnsi="Times New Roman" w:cs="Times New Roman"/>
          <w:b/>
          <w:bCs/>
          <w:shd w:val="clear" w:color="auto" w:fill="FFFFFF"/>
        </w:rPr>
        <w:t>The Use of Infliximab in IVIG-Resistant </w:t>
      </w:r>
      <w:r w:rsidRPr="00ED0F91">
        <w:rPr>
          <w:rStyle w:val="markl4tzlyeqv"/>
          <w:rFonts w:ascii="Times New Roman" w:hAnsi="Times New Roman" w:cs="Times New Roman"/>
          <w:b/>
          <w:bCs/>
          <w:bdr w:val="none" w:sz="0" w:space="0" w:color="auto" w:frame="1"/>
        </w:rPr>
        <w:t>Kawasaki</w:t>
      </w:r>
      <w:r w:rsidRPr="00ED0F91">
        <w:rPr>
          <w:rFonts w:ascii="Times New Roman" w:hAnsi="Times New Roman" w:cs="Times New Roman"/>
          <w:b/>
          <w:bCs/>
          <w:shd w:val="clear" w:color="auto" w:fill="FFFFFF"/>
        </w:rPr>
        <w:t> Disease</w:t>
      </w:r>
    </w:p>
    <w:p w14:paraId="3B150E49" w14:textId="78F015DF" w:rsidR="00F20B06" w:rsidRPr="00ED0F91" w:rsidRDefault="00F20B06" w:rsidP="00CB6C5A">
      <w:pPr>
        <w:spacing w:after="0" w:line="240" w:lineRule="auto"/>
        <w:jc w:val="center"/>
        <w:rPr>
          <w:rFonts w:ascii="Times New Roman" w:hAnsi="Times New Roman" w:cs="Times New Roman"/>
          <w:b/>
          <w:bCs/>
          <w:shd w:val="clear" w:color="auto" w:fill="FFFFFF"/>
        </w:rPr>
      </w:pPr>
      <w:r w:rsidRPr="00ED0F91">
        <w:rPr>
          <w:rFonts w:ascii="Times New Roman" w:hAnsi="Times New Roman" w:cs="Times New Roman"/>
          <w:b/>
          <w:bCs/>
          <w:shd w:val="clear" w:color="auto" w:fill="FFFFFF"/>
        </w:rPr>
        <w:t>January 2022</w:t>
      </w:r>
    </w:p>
    <w:p w14:paraId="2D8412E2" w14:textId="291A9F04" w:rsidR="00F20B06" w:rsidRPr="00ED0F91" w:rsidRDefault="00F20B06" w:rsidP="00CB6C5A">
      <w:pPr>
        <w:spacing w:after="0" w:line="240" w:lineRule="auto"/>
        <w:jc w:val="center"/>
        <w:rPr>
          <w:rFonts w:ascii="Times New Roman" w:hAnsi="Times New Roman" w:cs="Times New Roman"/>
          <w:b/>
          <w:bCs/>
          <w:shd w:val="clear" w:color="auto" w:fill="FFFFFF"/>
        </w:rPr>
      </w:pPr>
      <w:r w:rsidRPr="00ED0F91">
        <w:rPr>
          <w:rFonts w:ascii="Times New Roman" w:hAnsi="Times New Roman" w:cs="Times New Roman"/>
          <w:b/>
          <w:bCs/>
          <w:shd w:val="clear" w:color="auto" w:fill="FFFFFF"/>
        </w:rPr>
        <w:t>Kaitlyn Krebushevski, PGY2</w:t>
      </w:r>
    </w:p>
    <w:p w14:paraId="40030967" w14:textId="77777777" w:rsidR="00101B83" w:rsidRPr="00ED0F91" w:rsidRDefault="00F20B06" w:rsidP="00CB6C5A">
      <w:pPr>
        <w:spacing w:after="0" w:line="240" w:lineRule="auto"/>
        <w:rPr>
          <w:rFonts w:ascii="Times New Roman" w:hAnsi="Times New Roman" w:cs="Times New Roman"/>
          <w:b/>
          <w:bCs/>
          <w:shd w:val="clear" w:color="auto" w:fill="FFFFFF"/>
        </w:rPr>
      </w:pPr>
      <w:r w:rsidRPr="00ED0F91">
        <w:rPr>
          <w:rFonts w:ascii="Times New Roman" w:hAnsi="Times New Roman" w:cs="Times New Roman"/>
          <w:b/>
          <w:bCs/>
          <w:shd w:val="clear" w:color="auto" w:fill="FFFFFF"/>
        </w:rPr>
        <w:tab/>
      </w:r>
    </w:p>
    <w:p w14:paraId="13517FC5" w14:textId="051C67C6" w:rsidR="00101B83" w:rsidRPr="00ED0F91" w:rsidRDefault="00101B83" w:rsidP="00CB6C5A">
      <w:pPr>
        <w:spacing w:after="0" w:line="240" w:lineRule="auto"/>
        <w:ind w:firstLine="720"/>
        <w:rPr>
          <w:rFonts w:ascii="Times New Roman" w:hAnsi="Times New Roman" w:cs="Times New Roman"/>
          <w:shd w:val="clear" w:color="auto" w:fill="FFFFFF"/>
        </w:rPr>
      </w:pPr>
      <w:r w:rsidRPr="00ED0F91">
        <w:rPr>
          <w:rFonts w:ascii="Times New Roman" w:hAnsi="Times New Roman" w:cs="Times New Roman"/>
          <w:shd w:val="clear" w:color="auto" w:fill="FFFFFF"/>
        </w:rPr>
        <w:t xml:space="preserve">Kawasaki Disease (KD) is an acute self- limited vasculitis of unknown etiology affecting previously healthy young children usually between the age of 3-5. The diagnosis is made based on a constellation of clinical </w:t>
      </w:r>
      <w:r w:rsidR="0047661A">
        <w:rPr>
          <w:rFonts w:ascii="Times New Roman" w:hAnsi="Times New Roman" w:cs="Times New Roman"/>
          <w:shd w:val="clear" w:color="auto" w:fill="FFFFFF"/>
        </w:rPr>
        <w:t xml:space="preserve">signs </w:t>
      </w:r>
      <w:r w:rsidRPr="00ED0F91">
        <w:rPr>
          <w:rFonts w:ascii="Times New Roman" w:hAnsi="Times New Roman" w:cs="Times New Roman"/>
          <w:shd w:val="clear" w:color="auto" w:fill="FFFFFF"/>
        </w:rPr>
        <w:t xml:space="preserve">including at least 4 days fever, rash, conjunctival injection, erythema of the lips and oropharynx, edema/ erythema of the hands and feet periungual desquamation- all which are sequalae of systemic inflammation. One of the most feared complications is inflammation of the internal organs including the cardiovascular system. Up to 25% of untreated children go on to develop permanent damage to the coronary arteries due to the infiltration of inflammatory cells into the arterial wall, leading to dilation and aneurysm formation. </w:t>
      </w:r>
    </w:p>
    <w:p w14:paraId="5EEBC2D6" w14:textId="100FFBA7" w:rsidR="00101B83" w:rsidRPr="00ED0F91" w:rsidRDefault="00101B83" w:rsidP="00CB6C5A">
      <w:pPr>
        <w:spacing w:after="0" w:line="240" w:lineRule="auto"/>
        <w:ind w:firstLine="720"/>
        <w:rPr>
          <w:rFonts w:ascii="Times New Roman" w:hAnsi="Times New Roman" w:cs="Times New Roman"/>
          <w:shd w:val="clear" w:color="auto" w:fill="FFFFFF"/>
        </w:rPr>
      </w:pPr>
      <w:r w:rsidRPr="00ED0F91">
        <w:rPr>
          <w:rFonts w:ascii="Times New Roman" w:hAnsi="Times New Roman" w:cs="Times New Roman"/>
          <w:shd w:val="clear" w:color="auto" w:fill="FFFFFF"/>
        </w:rPr>
        <w:t xml:space="preserve">The goal of therapy in KD is to reduce this inflammation. Many studies have shown that early treatment with IVIG reduces the incidence of coronary artery aneurysms from 25% to approximately 5%.  However, 10–20% of patients will unfortunately be resistant to </w:t>
      </w:r>
      <w:r w:rsidR="0047661A" w:rsidRPr="00ED0F91">
        <w:rPr>
          <w:rFonts w:ascii="Times New Roman" w:hAnsi="Times New Roman" w:cs="Times New Roman"/>
          <w:shd w:val="clear" w:color="auto" w:fill="FFFFFF"/>
        </w:rPr>
        <w:t>IVIG,</w:t>
      </w:r>
      <w:r w:rsidRPr="00ED0F91">
        <w:rPr>
          <w:rFonts w:ascii="Times New Roman" w:hAnsi="Times New Roman" w:cs="Times New Roman"/>
          <w:shd w:val="clear" w:color="auto" w:fill="FFFFFF"/>
        </w:rPr>
        <w:t xml:space="preserve"> and these patients are at increased risk for developing coronary artery lesions (CALs). IVIG resistance is defined as having a fever at least 36 hours following the end of the initial IVIG infusion. More than any other laboratory value, this fever is universally seen as a marker of persistent inflammation</w:t>
      </w:r>
      <w:r w:rsidR="0047661A">
        <w:rPr>
          <w:rFonts w:ascii="Times New Roman" w:hAnsi="Times New Roman" w:cs="Times New Roman"/>
          <w:shd w:val="clear" w:color="auto" w:fill="FFFFFF"/>
        </w:rPr>
        <w:t xml:space="preserve"> and an indication for</w:t>
      </w:r>
      <w:r w:rsidRPr="00ED0F91">
        <w:rPr>
          <w:rFonts w:ascii="Times New Roman" w:hAnsi="Times New Roman" w:cs="Times New Roman"/>
          <w:shd w:val="clear" w:color="auto" w:fill="FFFFFF"/>
        </w:rPr>
        <w:t xml:space="preserve"> additional therapy. </w:t>
      </w:r>
      <w:r w:rsidR="0047661A">
        <w:rPr>
          <w:rFonts w:ascii="Times New Roman" w:hAnsi="Times New Roman" w:cs="Times New Roman"/>
          <w:shd w:val="clear" w:color="auto" w:fill="FFFFFF"/>
        </w:rPr>
        <w:t>M</w:t>
      </w:r>
      <w:r w:rsidRPr="00ED0F91">
        <w:rPr>
          <w:rFonts w:ascii="Times New Roman" w:hAnsi="Times New Roman" w:cs="Times New Roman"/>
          <w:shd w:val="clear" w:color="auto" w:fill="FFFFFF"/>
        </w:rPr>
        <w:t>any studies have shown a dose response effect of IVIG</w:t>
      </w:r>
      <w:r w:rsidR="0047661A">
        <w:rPr>
          <w:rFonts w:ascii="Times New Roman" w:hAnsi="Times New Roman" w:cs="Times New Roman"/>
          <w:shd w:val="clear" w:color="auto" w:fill="FFFFFF"/>
        </w:rPr>
        <w:t xml:space="preserve"> and therefore</w:t>
      </w:r>
      <w:r w:rsidRPr="00ED0F91">
        <w:rPr>
          <w:rFonts w:ascii="Times New Roman" w:hAnsi="Times New Roman" w:cs="Times New Roman"/>
          <w:shd w:val="clear" w:color="auto" w:fill="FFFFFF"/>
        </w:rPr>
        <w:t xml:space="preserve"> a second dose of IVIG if the most common treatment. The optimal therapy </w:t>
      </w:r>
      <w:r w:rsidR="0047661A">
        <w:rPr>
          <w:rFonts w:ascii="Times New Roman" w:hAnsi="Times New Roman" w:cs="Times New Roman"/>
          <w:shd w:val="clear" w:color="auto" w:fill="FFFFFF"/>
        </w:rPr>
        <w:t>still</w:t>
      </w:r>
      <w:r w:rsidRPr="00ED0F91">
        <w:rPr>
          <w:rFonts w:ascii="Times New Roman" w:hAnsi="Times New Roman" w:cs="Times New Roman"/>
          <w:shd w:val="clear" w:color="auto" w:fill="FFFFFF"/>
        </w:rPr>
        <w:t xml:space="preserve"> remains controversial due to the lack of sufficiently powered RCTs. Therapies have included intravenous methylprednisolone, oral corticosteroids, infliximab, cyclophosphamide, cyclosporine</w:t>
      </w:r>
      <w:r w:rsidR="0047661A">
        <w:rPr>
          <w:rFonts w:ascii="Times New Roman" w:hAnsi="Times New Roman" w:cs="Times New Roman"/>
          <w:shd w:val="clear" w:color="auto" w:fill="FFFFFF"/>
        </w:rPr>
        <w:t xml:space="preserve"> and more. </w:t>
      </w:r>
      <w:r w:rsidRPr="00ED0F91">
        <w:rPr>
          <w:rFonts w:ascii="Times New Roman" w:hAnsi="Times New Roman" w:cs="Times New Roman"/>
          <w:shd w:val="clear" w:color="auto" w:fill="FFFFFF"/>
        </w:rPr>
        <w:t>TNF inhibitors, such as infliximab have potent anti-inflammatory affects and are used in the treatment of other vasculitis and inflammatory disease</w:t>
      </w:r>
      <w:r w:rsidR="0047661A">
        <w:rPr>
          <w:rFonts w:ascii="Times New Roman" w:hAnsi="Times New Roman" w:cs="Times New Roman"/>
          <w:shd w:val="clear" w:color="auto" w:fill="FFFFFF"/>
        </w:rPr>
        <w:t>s</w:t>
      </w:r>
      <w:r w:rsidRPr="00ED0F91">
        <w:rPr>
          <w:rFonts w:ascii="Times New Roman" w:hAnsi="Times New Roman" w:cs="Times New Roman"/>
          <w:shd w:val="clear" w:color="auto" w:fill="FFFFFF"/>
        </w:rPr>
        <w:t xml:space="preserve">. Additionally, it has been shown that there are elevated levels of TNF alpha in the blood of patients with KD and these levels are correlated with increased risk of CALs. </w:t>
      </w:r>
      <w:r w:rsidR="0047661A">
        <w:rPr>
          <w:rFonts w:ascii="Times New Roman" w:hAnsi="Times New Roman" w:cs="Times New Roman"/>
          <w:shd w:val="clear" w:color="auto" w:fill="FFFFFF"/>
        </w:rPr>
        <w:t>This lead to the quest</w:t>
      </w:r>
      <w:r w:rsidR="00A55133">
        <w:rPr>
          <w:rFonts w:ascii="Times New Roman" w:hAnsi="Times New Roman" w:cs="Times New Roman"/>
          <w:shd w:val="clear" w:color="auto" w:fill="FFFFFF"/>
        </w:rPr>
        <w:t>ion</w:t>
      </w:r>
      <w:r w:rsidR="0047661A">
        <w:rPr>
          <w:rFonts w:ascii="Times New Roman" w:hAnsi="Times New Roman" w:cs="Times New Roman"/>
          <w:shd w:val="clear" w:color="auto" w:fill="FFFFFF"/>
        </w:rPr>
        <w:t>, i</w:t>
      </w:r>
      <w:r w:rsidRPr="00ED0F91">
        <w:rPr>
          <w:rFonts w:ascii="Times New Roman" w:hAnsi="Times New Roman" w:cs="Times New Roman"/>
          <w:shd w:val="clear" w:color="auto" w:fill="FFFFFF"/>
        </w:rPr>
        <w:t>s there any role for the use of infliximab as initial retreatment in IVIG resistant KD?</w:t>
      </w:r>
    </w:p>
    <w:p w14:paraId="535E6561" w14:textId="2F97289A" w:rsidR="003A31F5" w:rsidRPr="00ED0F91" w:rsidRDefault="00101B83" w:rsidP="00CB6C5A">
      <w:pPr>
        <w:spacing w:after="0" w:line="240" w:lineRule="auto"/>
        <w:ind w:firstLine="720"/>
        <w:rPr>
          <w:rFonts w:ascii="Times New Roman" w:hAnsi="Times New Roman" w:cs="Times New Roman"/>
          <w:shd w:val="clear" w:color="auto" w:fill="FFFFFF"/>
        </w:rPr>
      </w:pPr>
      <w:r w:rsidRPr="00ED0F91">
        <w:rPr>
          <w:rFonts w:ascii="Times New Roman" w:hAnsi="Times New Roman" w:cs="Times New Roman"/>
          <w:shd w:val="clear" w:color="auto" w:fill="FFFFFF"/>
        </w:rPr>
        <w:t>A literature search was conducted using a PubMed search</w:t>
      </w:r>
      <w:r w:rsidR="003A31F5" w:rsidRPr="00ED0F91">
        <w:rPr>
          <w:rFonts w:ascii="Times New Roman" w:hAnsi="Times New Roman" w:cs="Times New Roman"/>
          <w:shd w:val="clear" w:color="auto" w:fill="FFFFFF"/>
        </w:rPr>
        <w:t xml:space="preserve"> with the following MeSH terms “</w:t>
      </w:r>
      <w:r w:rsidRPr="00ED0F91">
        <w:rPr>
          <w:rFonts w:ascii="Times New Roman" w:hAnsi="Times New Roman" w:cs="Times New Roman"/>
          <w:shd w:val="clear" w:color="auto" w:fill="FFFFFF"/>
        </w:rPr>
        <w:t>Treatment Resistant Kawasaki Disease</w:t>
      </w:r>
      <w:r w:rsidR="003A31F5" w:rsidRPr="00ED0F91">
        <w:rPr>
          <w:rFonts w:ascii="Times New Roman" w:hAnsi="Times New Roman" w:cs="Times New Roman"/>
          <w:shd w:val="clear" w:color="auto" w:fill="FFFFFF"/>
        </w:rPr>
        <w:t>” or “</w:t>
      </w:r>
      <w:r w:rsidRPr="00ED0F91">
        <w:rPr>
          <w:rFonts w:ascii="Times New Roman" w:hAnsi="Times New Roman" w:cs="Times New Roman"/>
          <w:shd w:val="clear" w:color="auto" w:fill="FFFFFF"/>
        </w:rPr>
        <w:t>Refractory Kawasaki Disease</w:t>
      </w:r>
      <w:r w:rsidR="003A31F5" w:rsidRPr="00ED0F91">
        <w:rPr>
          <w:rFonts w:ascii="Times New Roman" w:hAnsi="Times New Roman" w:cs="Times New Roman"/>
          <w:shd w:val="clear" w:color="auto" w:fill="FFFFFF"/>
        </w:rPr>
        <w:t>”</w:t>
      </w:r>
      <w:r w:rsidRPr="00ED0F91">
        <w:rPr>
          <w:rFonts w:ascii="Times New Roman" w:hAnsi="Times New Roman" w:cs="Times New Roman"/>
          <w:shd w:val="clear" w:color="auto" w:fill="FFFFFF"/>
        </w:rPr>
        <w:t xml:space="preserve"> </w:t>
      </w:r>
      <w:r w:rsidR="003A31F5" w:rsidRPr="00ED0F91">
        <w:rPr>
          <w:rFonts w:ascii="Times New Roman" w:hAnsi="Times New Roman" w:cs="Times New Roman"/>
          <w:shd w:val="clear" w:color="auto" w:fill="FFFFFF"/>
        </w:rPr>
        <w:t>or</w:t>
      </w:r>
      <w:r w:rsidRPr="00ED0F91">
        <w:rPr>
          <w:rFonts w:ascii="Times New Roman" w:hAnsi="Times New Roman" w:cs="Times New Roman"/>
          <w:shd w:val="clear" w:color="auto" w:fill="FFFFFF"/>
        </w:rPr>
        <w:t xml:space="preserve"> </w:t>
      </w:r>
      <w:r w:rsidR="003A31F5" w:rsidRPr="00ED0F91">
        <w:rPr>
          <w:rFonts w:ascii="Times New Roman" w:hAnsi="Times New Roman" w:cs="Times New Roman"/>
          <w:shd w:val="clear" w:color="auto" w:fill="FFFFFF"/>
        </w:rPr>
        <w:t>“</w:t>
      </w:r>
      <w:r w:rsidRPr="00ED0F91">
        <w:rPr>
          <w:rFonts w:ascii="Times New Roman" w:hAnsi="Times New Roman" w:cs="Times New Roman"/>
          <w:shd w:val="clear" w:color="auto" w:fill="FFFFFF"/>
        </w:rPr>
        <w:t>IVIG Resistant Kawasaki Disease</w:t>
      </w:r>
      <w:r w:rsidR="003A31F5" w:rsidRPr="00ED0F91">
        <w:rPr>
          <w:rFonts w:ascii="Times New Roman" w:hAnsi="Times New Roman" w:cs="Times New Roman"/>
          <w:shd w:val="clear" w:color="auto" w:fill="FFFFFF"/>
        </w:rPr>
        <w:t>” and “</w:t>
      </w:r>
      <w:r w:rsidRPr="00ED0F91">
        <w:rPr>
          <w:rFonts w:ascii="Times New Roman" w:hAnsi="Times New Roman" w:cs="Times New Roman"/>
          <w:shd w:val="clear" w:color="auto" w:fill="FFFFFF"/>
        </w:rPr>
        <w:t>Infliximab.</w:t>
      </w:r>
      <w:r w:rsidR="003A31F5" w:rsidRPr="00ED0F91">
        <w:rPr>
          <w:rFonts w:ascii="Times New Roman" w:hAnsi="Times New Roman" w:cs="Times New Roman"/>
          <w:shd w:val="clear" w:color="auto" w:fill="FFFFFF"/>
        </w:rPr>
        <w:t xml:space="preserve">” The search was narrowed down to the last 10 years, pediatric population and specifically filtered to look at meta-analysis, systematic reviews, reviews and randomized control trials. Four articles were found that further discussed the use of infliximab for the first retreatment in patients who were refractory to initial treatment with IVIG. </w:t>
      </w:r>
    </w:p>
    <w:p w14:paraId="54FD5F88" w14:textId="729300A7" w:rsidR="003A31F5" w:rsidRPr="00ED0F91" w:rsidRDefault="003A31F5" w:rsidP="00CB6C5A">
      <w:pPr>
        <w:spacing w:after="0" w:line="240" w:lineRule="auto"/>
        <w:ind w:firstLine="720"/>
        <w:rPr>
          <w:rFonts w:ascii="Times New Roman" w:hAnsi="Times New Roman" w:cs="Times New Roman"/>
          <w:shd w:val="clear" w:color="auto" w:fill="FFFFFF"/>
        </w:rPr>
      </w:pPr>
      <w:r w:rsidRPr="00ED0F91">
        <w:rPr>
          <w:rFonts w:ascii="Times New Roman" w:hAnsi="Times New Roman" w:cs="Times New Roman"/>
          <w:shd w:val="clear" w:color="auto" w:fill="FFFFFF"/>
        </w:rPr>
        <w:t>The first study by Mori et al (2018) was a phase 3 randomized open labeled, parallel group multi center trial conducted in Japan.</w:t>
      </w:r>
      <w:r w:rsidR="00C53FEB" w:rsidRPr="00ED0F91">
        <w:rPr>
          <w:rFonts w:ascii="Times New Roman" w:hAnsi="Times New Roman" w:cs="Times New Roman"/>
          <w:shd w:val="clear" w:color="auto" w:fill="FFFFFF"/>
        </w:rPr>
        <w:t xml:space="preserve"> The authors found that patients treated with infliximab as initial retreatment had a </w:t>
      </w:r>
      <w:r w:rsidR="0047661A" w:rsidRPr="00ED0F91">
        <w:rPr>
          <w:rFonts w:ascii="Times New Roman" w:hAnsi="Times New Roman" w:cs="Times New Roman"/>
          <w:shd w:val="clear" w:color="auto" w:fill="FFFFFF"/>
        </w:rPr>
        <w:t>lower rate of fever</w:t>
      </w:r>
      <w:r w:rsidR="00C53FEB" w:rsidRPr="00ED0F91">
        <w:rPr>
          <w:rFonts w:ascii="Times New Roman" w:hAnsi="Times New Roman" w:cs="Times New Roman"/>
          <w:shd w:val="clear" w:color="auto" w:fill="FFFFFF"/>
        </w:rPr>
        <w:t xml:space="preserve"> </w:t>
      </w:r>
      <w:r w:rsidR="00F67396" w:rsidRPr="00ED0F91">
        <w:rPr>
          <w:rFonts w:ascii="Times New Roman" w:hAnsi="Times New Roman" w:cs="Times New Roman"/>
          <w:shd w:val="clear" w:color="auto" w:fill="FFFFFF"/>
        </w:rPr>
        <w:t>re</w:t>
      </w:r>
      <w:r w:rsidR="0047661A">
        <w:rPr>
          <w:rFonts w:ascii="Times New Roman" w:hAnsi="Times New Roman" w:cs="Times New Roman"/>
          <w:shd w:val="clear" w:color="auto" w:fill="FFFFFF"/>
        </w:rPr>
        <w:t xml:space="preserve">turning </w:t>
      </w:r>
      <w:r w:rsidR="00F67396" w:rsidRPr="00ED0F91">
        <w:rPr>
          <w:rFonts w:ascii="Times New Roman" w:hAnsi="Times New Roman" w:cs="Times New Roman"/>
          <w:shd w:val="clear" w:color="auto" w:fill="FFFFFF"/>
        </w:rPr>
        <w:t xml:space="preserve">after </w:t>
      </w:r>
      <w:r w:rsidR="00C53FEB" w:rsidRPr="00ED0F91">
        <w:rPr>
          <w:rFonts w:ascii="Times New Roman" w:hAnsi="Times New Roman" w:cs="Times New Roman"/>
          <w:shd w:val="clear" w:color="auto" w:fill="FFFFFF"/>
        </w:rPr>
        <w:t>48 hours</w:t>
      </w:r>
      <w:r w:rsidR="0047661A">
        <w:rPr>
          <w:rFonts w:ascii="Times New Roman" w:hAnsi="Times New Roman" w:cs="Times New Roman"/>
          <w:shd w:val="clear" w:color="auto" w:fill="FFFFFF"/>
        </w:rPr>
        <w:t xml:space="preserve"> (</w:t>
      </w:r>
      <w:r w:rsidR="00C53FEB" w:rsidRPr="00ED0F91">
        <w:rPr>
          <w:rFonts w:ascii="Times New Roman" w:hAnsi="Times New Roman" w:cs="Times New Roman"/>
          <w:shd w:val="clear" w:color="auto" w:fill="FFFFFF"/>
        </w:rPr>
        <w:t xml:space="preserve">absolute risk reduction of 36% number needed to treat of </w:t>
      </w:r>
      <w:r w:rsidR="0047661A">
        <w:rPr>
          <w:rFonts w:ascii="Times New Roman" w:hAnsi="Times New Roman" w:cs="Times New Roman"/>
          <w:shd w:val="clear" w:color="auto" w:fill="FFFFFF"/>
        </w:rPr>
        <w:t>2.8)</w:t>
      </w:r>
      <w:r w:rsidR="00C53FEB" w:rsidRPr="00ED0F91">
        <w:rPr>
          <w:rFonts w:ascii="Times New Roman" w:hAnsi="Times New Roman" w:cs="Times New Roman"/>
          <w:shd w:val="clear" w:color="auto" w:fill="FFFFFF"/>
        </w:rPr>
        <w:t>. They also looked at coronary arteries</w:t>
      </w:r>
      <w:r w:rsidR="0047661A">
        <w:rPr>
          <w:rFonts w:ascii="Times New Roman" w:hAnsi="Times New Roman" w:cs="Times New Roman"/>
          <w:shd w:val="clear" w:color="auto" w:fill="FFFFFF"/>
        </w:rPr>
        <w:t xml:space="preserve"> z scores</w:t>
      </w:r>
      <w:r w:rsidR="00C53FEB" w:rsidRPr="00ED0F91">
        <w:rPr>
          <w:rFonts w:ascii="Times New Roman" w:hAnsi="Times New Roman" w:cs="Times New Roman"/>
          <w:shd w:val="clear" w:color="auto" w:fill="FFFFFF"/>
        </w:rPr>
        <w:t xml:space="preserve"> on echocardiogram reports through day 56 of illness. There was no significant difference between the dimensions of coronary arteries</w:t>
      </w:r>
      <w:r w:rsidR="0047661A">
        <w:rPr>
          <w:rFonts w:ascii="Times New Roman" w:hAnsi="Times New Roman" w:cs="Times New Roman"/>
          <w:shd w:val="clear" w:color="auto" w:fill="FFFFFF"/>
        </w:rPr>
        <w:t xml:space="preserve"> </w:t>
      </w:r>
      <w:r w:rsidR="00C53FEB" w:rsidRPr="00ED0F91">
        <w:rPr>
          <w:rFonts w:ascii="Times New Roman" w:hAnsi="Times New Roman" w:cs="Times New Roman"/>
          <w:shd w:val="clear" w:color="auto" w:fill="FFFFFF"/>
        </w:rPr>
        <w:t>or aneurysms at the start or end of the study.</w:t>
      </w:r>
      <w:r w:rsidR="00F67396" w:rsidRPr="00ED0F91">
        <w:rPr>
          <w:rFonts w:ascii="Times New Roman" w:hAnsi="Times New Roman" w:cs="Times New Roman"/>
          <w:shd w:val="clear" w:color="auto" w:fill="FFFFFF"/>
        </w:rPr>
        <w:t xml:space="preserve"> The limitations to this study included a small sample size</w:t>
      </w:r>
      <w:r w:rsidR="0047661A">
        <w:rPr>
          <w:rFonts w:ascii="Times New Roman" w:hAnsi="Times New Roman" w:cs="Times New Roman"/>
          <w:shd w:val="clear" w:color="auto" w:fill="FFFFFF"/>
        </w:rPr>
        <w:t>. A</w:t>
      </w:r>
      <w:r w:rsidR="00F67396" w:rsidRPr="00ED0F91">
        <w:rPr>
          <w:rFonts w:ascii="Times New Roman" w:hAnsi="Times New Roman" w:cs="Times New Roman"/>
          <w:shd w:val="clear" w:color="auto" w:fill="FFFFFF"/>
        </w:rPr>
        <w:t xml:space="preserve">bout half of the patients were removed from the study due to the development of worsening KD. </w:t>
      </w:r>
    </w:p>
    <w:p w14:paraId="3544CCD0" w14:textId="362F805B" w:rsidR="00F62973" w:rsidRPr="00ED0F91" w:rsidRDefault="00F67396" w:rsidP="00CB6C5A">
      <w:pPr>
        <w:pStyle w:val="NormalWeb"/>
        <w:spacing w:before="0" w:beforeAutospacing="0" w:after="0" w:afterAutospacing="0"/>
        <w:ind w:firstLine="720"/>
        <w:rPr>
          <w:rFonts w:eastAsiaTheme="minorEastAsia"/>
          <w:kern w:val="24"/>
          <w:sz w:val="22"/>
          <w:szCs w:val="22"/>
        </w:rPr>
      </w:pPr>
      <w:r w:rsidRPr="00ED0F91">
        <w:rPr>
          <w:sz w:val="22"/>
          <w:szCs w:val="22"/>
          <w:shd w:val="clear" w:color="auto" w:fill="FFFFFF"/>
        </w:rPr>
        <w:t xml:space="preserve">The second study </w:t>
      </w:r>
      <w:r w:rsidR="00237867" w:rsidRPr="00ED0F91">
        <w:rPr>
          <w:sz w:val="22"/>
          <w:szCs w:val="22"/>
          <w:shd w:val="clear" w:color="auto" w:fill="FFFFFF"/>
        </w:rPr>
        <w:t xml:space="preserve">by Son et al (2011) was a retrospective review </w:t>
      </w:r>
      <w:r w:rsidR="0047661A">
        <w:rPr>
          <w:sz w:val="22"/>
          <w:szCs w:val="22"/>
          <w:shd w:val="clear" w:color="auto" w:fill="FFFFFF"/>
        </w:rPr>
        <w:t>conducted from</w:t>
      </w:r>
      <w:r w:rsidR="00237867" w:rsidRPr="00ED0F91">
        <w:rPr>
          <w:sz w:val="22"/>
          <w:szCs w:val="22"/>
          <w:shd w:val="clear" w:color="auto" w:fill="FFFFFF"/>
        </w:rPr>
        <w:t xml:space="preserve"> two medical centers</w:t>
      </w:r>
      <w:r w:rsidR="0047661A">
        <w:rPr>
          <w:sz w:val="22"/>
          <w:szCs w:val="22"/>
          <w:shd w:val="clear" w:color="auto" w:fill="FFFFFF"/>
        </w:rPr>
        <w:t xml:space="preserve">. They </w:t>
      </w:r>
      <w:r w:rsidR="009D49F0" w:rsidRPr="00ED0F91">
        <w:rPr>
          <w:sz w:val="22"/>
          <w:szCs w:val="22"/>
          <w:shd w:val="clear" w:color="auto" w:fill="FFFFFF"/>
        </w:rPr>
        <w:t>included patients that either received infliximab or IVIG as initial retreatment</w:t>
      </w:r>
      <w:r w:rsidR="0047661A">
        <w:rPr>
          <w:sz w:val="22"/>
          <w:szCs w:val="22"/>
          <w:shd w:val="clear" w:color="auto" w:fill="FFFFFF"/>
        </w:rPr>
        <w:t xml:space="preserve"> after IVIG</w:t>
      </w:r>
      <w:r w:rsidR="009D49F0" w:rsidRPr="00ED0F91">
        <w:rPr>
          <w:sz w:val="22"/>
          <w:szCs w:val="22"/>
          <w:shd w:val="clear" w:color="auto" w:fill="FFFFFF"/>
        </w:rPr>
        <w:t xml:space="preserve">. This study </w:t>
      </w:r>
      <w:r w:rsidR="00781D3F" w:rsidRPr="00ED0F91">
        <w:rPr>
          <w:sz w:val="22"/>
          <w:szCs w:val="22"/>
          <w:shd w:val="clear" w:color="auto" w:fill="FFFFFF"/>
        </w:rPr>
        <w:t>reported that patients treated with infliximab had fe</w:t>
      </w:r>
      <w:r w:rsidR="0047661A">
        <w:rPr>
          <w:sz w:val="22"/>
          <w:szCs w:val="22"/>
          <w:shd w:val="clear" w:color="auto" w:fill="FFFFFF"/>
        </w:rPr>
        <w:t xml:space="preserve">wer </w:t>
      </w:r>
      <w:r w:rsidR="00781D3F" w:rsidRPr="00ED0F91">
        <w:rPr>
          <w:sz w:val="22"/>
          <w:szCs w:val="22"/>
          <w:shd w:val="clear" w:color="auto" w:fill="FFFFFF"/>
        </w:rPr>
        <w:t>total days of fever than those treated with infliximab (8 day versus 10 days</w:t>
      </w:r>
      <w:r w:rsidR="00A04C92" w:rsidRPr="00ED0F91">
        <w:rPr>
          <w:sz w:val="22"/>
          <w:szCs w:val="22"/>
          <w:shd w:val="clear" w:color="auto" w:fill="FFFFFF"/>
        </w:rPr>
        <w:t>, p value 0.28)</w:t>
      </w:r>
      <w:r w:rsidR="0047661A">
        <w:rPr>
          <w:sz w:val="22"/>
          <w:szCs w:val="22"/>
          <w:shd w:val="clear" w:color="auto" w:fill="FFFFFF"/>
        </w:rPr>
        <w:t xml:space="preserve"> however confidence intervals overlapped between the two groups</w:t>
      </w:r>
      <w:r w:rsidR="00A04C92" w:rsidRPr="00ED0F91">
        <w:rPr>
          <w:sz w:val="22"/>
          <w:szCs w:val="22"/>
          <w:shd w:val="clear" w:color="auto" w:fill="FFFFFF"/>
        </w:rPr>
        <w:t xml:space="preserve">. </w:t>
      </w:r>
      <w:r w:rsidR="0047661A">
        <w:rPr>
          <w:sz w:val="22"/>
          <w:szCs w:val="22"/>
          <w:shd w:val="clear" w:color="auto" w:fill="FFFFFF"/>
        </w:rPr>
        <w:t xml:space="preserve">Regarding </w:t>
      </w:r>
      <w:r w:rsidR="00A04C92" w:rsidRPr="00ED0F91">
        <w:rPr>
          <w:sz w:val="22"/>
          <w:szCs w:val="22"/>
          <w:shd w:val="clear" w:color="auto" w:fill="FFFFFF"/>
        </w:rPr>
        <w:t>coronary artery z scores, they found no significant difference in the change in dimension from baseline to follow up echocardiogram</w:t>
      </w:r>
      <w:r w:rsidR="00F62973" w:rsidRPr="00ED0F91">
        <w:rPr>
          <w:sz w:val="22"/>
          <w:szCs w:val="22"/>
          <w:shd w:val="clear" w:color="auto" w:fill="FFFFFF"/>
        </w:rPr>
        <w:t>. T</w:t>
      </w:r>
      <w:r w:rsidR="00F62973" w:rsidRPr="00ED0F91">
        <w:rPr>
          <w:rFonts w:eastAsiaTheme="minorEastAsia"/>
          <w:kern w:val="24"/>
          <w:sz w:val="22"/>
          <w:szCs w:val="22"/>
        </w:rPr>
        <w:t xml:space="preserve">he infliximab and IVIG re-treatment groups did not differ significantly in the percentage of patients with aneurysms. </w:t>
      </w:r>
      <w:r w:rsidR="005F6277" w:rsidRPr="00ED0F91">
        <w:rPr>
          <w:rFonts w:eastAsiaTheme="minorEastAsia"/>
          <w:kern w:val="24"/>
          <w:sz w:val="22"/>
          <w:szCs w:val="22"/>
        </w:rPr>
        <w:t xml:space="preserve">The limitations of this study were that it was a retrospective review therefore </w:t>
      </w:r>
      <w:r w:rsidR="0047661A">
        <w:rPr>
          <w:rFonts w:eastAsiaTheme="minorEastAsia"/>
          <w:kern w:val="24"/>
          <w:sz w:val="22"/>
          <w:szCs w:val="22"/>
        </w:rPr>
        <w:t xml:space="preserve">was </w:t>
      </w:r>
      <w:r w:rsidR="005F6277" w:rsidRPr="00ED0F91">
        <w:rPr>
          <w:rFonts w:eastAsiaTheme="minorEastAsia"/>
          <w:kern w:val="24"/>
          <w:sz w:val="22"/>
          <w:szCs w:val="22"/>
        </w:rPr>
        <w:t xml:space="preserve">not randomized or controlled. </w:t>
      </w:r>
    </w:p>
    <w:p w14:paraId="53EA6296" w14:textId="235BA081" w:rsidR="005F6277" w:rsidRPr="00ED0F91" w:rsidRDefault="00F62973" w:rsidP="00CB6C5A">
      <w:pPr>
        <w:pStyle w:val="NormalWeb"/>
        <w:spacing w:before="0" w:beforeAutospacing="0" w:after="0" w:afterAutospacing="0"/>
        <w:ind w:firstLine="720"/>
        <w:rPr>
          <w:rFonts w:eastAsiaTheme="minorEastAsia"/>
          <w:kern w:val="24"/>
          <w:sz w:val="22"/>
          <w:szCs w:val="22"/>
        </w:rPr>
      </w:pPr>
      <w:r w:rsidRPr="00ED0F91">
        <w:rPr>
          <w:rFonts w:eastAsiaTheme="minorEastAsia"/>
          <w:kern w:val="24"/>
          <w:sz w:val="22"/>
          <w:szCs w:val="22"/>
        </w:rPr>
        <w:t xml:space="preserve">The third study evaluated was a multicenter randomized control trial by Burns et al published in 2021. </w:t>
      </w:r>
      <w:r w:rsidRPr="00F62973">
        <w:rPr>
          <w:rFonts w:eastAsiaTheme="minorEastAsia"/>
          <w:kern w:val="24"/>
          <w:sz w:val="22"/>
          <w:szCs w:val="22"/>
        </w:rPr>
        <w:t>In this trial, patients (aged 4 weeks to 17 years) with IVIG resistant Kawasaki disease were recruited from 30 hospitals across the USA. Patients were randomly assigned to second IVIG or infliximab</w:t>
      </w:r>
      <w:r w:rsidRPr="00ED0F91">
        <w:rPr>
          <w:rFonts w:eastAsiaTheme="minorEastAsia"/>
          <w:kern w:val="24"/>
          <w:sz w:val="22"/>
          <w:szCs w:val="22"/>
        </w:rPr>
        <w:t xml:space="preserve">. They found that patients in the IVIG group </w:t>
      </w:r>
      <w:r w:rsidR="005F6277" w:rsidRPr="00ED0F91">
        <w:rPr>
          <w:rFonts w:eastAsiaTheme="minorEastAsia"/>
          <w:kern w:val="24"/>
          <w:sz w:val="22"/>
          <w:szCs w:val="22"/>
        </w:rPr>
        <w:t xml:space="preserve">had a higher rate of persistent fever 48 hours to 7 </w:t>
      </w:r>
      <w:r w:rsidR="005F6277" w:rsidRPr="00ED0F91">
        <w:rPr>
          <w:rFonts w:eastAsiaTheme="minorEastAsia"/>
          <w:kern w:val="24"/>
          <w:sz w:val="22"/>
          <w:szCs w:val="22"/>
        </w:rPr>
        <w:lastRenderedPageBreak/>
        <w:t>days after initial treatment</w:t>
      </w:r>
      <w:r w:rsidR="00BA1724">
        <w:rPr>
          <w:rFonts w:eastAsiaTheme="minorEastAsia"/>
          <w:kern w:val="24"/>
          <w:sz w:val="22"/>
          <w:szCs w:val="22"/>
        </w:rPr>
        <w:t xml:space="preserve"> (ARR</w:t>
      </w:r>
      <w:r w:rsidR="005F6277" w:rsidRPr="00ED0F91">
        <w:rPr>
          <w:rFonts w:eastAsiaTheme="minorEastAsia"/>
          <w:kern w:val="24"/>
          <w:sz w:val="22"/>
          <w:szCs w:val="22"/>
        </w:rPr>
        <w:t xml:space="preserve"> of 25% and </w:t>
      </w:r>
      <w:r w:rsidR="00BA1724">
        <w:rPr>
          <w:rFonts w:eastAsiaTheme="minorEastAsia"/>
          <w:kern w:val="24"/>
          <w:sz w:val="22"/>
          <w:szCs w:val="22"/>
        </w:rPr>
        <w:t>NNT</w:t>
      </w:r>
      <w:r w:rsidR="005F6277" w:rsidRPr="00ED0F91">
        <w:rPr>
          <w:rFonts w:eastAsiaTheme="minorEastAsia"/>
          <w:kern w:val="24"/>
          <w:sz w:val="22"/>
          <w:szCs w:val="22"/>
        </w:rPr>
        <w:t xml:space="preserve"> of 3</w:t>
      </w:r>
      <w:r w:rsidR="00BA1724">
        <w:rPr>
          <w:rFonts w:eastAsiaTheme="minorEastAsia"/>
          <w:kern w:val="24"/>
          <w:sz w:val="22"/>
          <w:szCs w:val="22"/>
        </w:rPr>
        <w:t>)</w:t>
      </w:r>
      <w:r w:rsidR="005F6277" w:rsidRPr="00ED0F91">
        <w:rPr>
          <w:rFonts w:eastAsiaTheme="minorEastAsia"/>
          <w:kern w:val="24"/>
          <w:sz w:val="22"/>
          <w:szCs w:val="22"/>
        </w:rPr>
        <w:t>. With regards to coronary artery dimensions, they found that there was no difference in median coronary artery z score</w:t>
      </w:r>
      <w:r w:rsidR="00BA1724">
        <w:rPr>
          <w:rFonts w:eastAsiaTheme="minorEastAsia"/>
          <w:kern w:val="24"/>
          <w:sz w:val="22"/>
          <w:szCs w:val="22"/>
        </w:rPr>
        <w:t>s</w:t>
      </w:r>
      <w:r w:rsidR="005F6277" w:rsidRPr="00ED0F91">
        <w:rPr>
          <w:rFonts w:eastAsiaTheme="minorEastAsia"/>
          <w:kern w:val="24"/>
          <w:sz w:val="22"/>
          <w:szCs w:val="22"/>
        </w:rPr>
        <w:t xml:space="preserve"> between the two groups at baseline or at study completion. There was no difference in the number of patients who had a maximal z score of </w:t>
      </w:r>
      <w:r w:rsidR="00074D5E">
        <w:rPr>
          <w:rFonts w:eastAsiaTheme="minorEastAsia"/>
          <w:kern w:val="24"/>
          <w:sz w:val="22"/>
          <w:szCs w:val="22"/>
        </w:rPr>
        <w:t xml:space="preserve"> </w:t>
      </w:r>
      <w:r w:rsidR="005F6277" w:rsidRPr="00ED0F91">
        <w:rPr>
          <w:rFonts w:eastAsiaTheme="minorEastAsia"/>
          <w:kern w:val="24"/>
          <w:sz w:val="22"/>
          <w:szCs w:val="22"/>
        </w:rPr>
        <w:t>&gt; 2.5</w:t>
      </w:r>
      <w:r w:rsidR="00074D5E">
        <w:rPr>
          <w:rFonts w:eastAsiaTheme="minorEastAsia"/>
          <w:kern w:val="24"/>
          <w:sz w:val="22"/>
          <w:szCs w:val="22"/>
        </w:rPr>
        <w:t xml:space="preserve"> c</w:t>
      </w:r>
      <w:r w:rsidR="005F6277" w:rsidRPr="00ED0F91">
        <w:rPr>
          <w:rFonts w:eastAsiaTheme="minorEastAsia"/>
          <w:kern w:val="24"/>
          <w:sz w:val="22"/>
          <w:szCs w:val="22"/>
        </w:rPr>
        <w:t>m or patients whose coronary arteries increased by 0.5% standard deviations. This study was the largest randomized control trial done thus far on this topic</w:t>
      </w:r>
      <w:r w:rsidR="00CB6C5A" w:rsidRPr="00ED0F91">
        <w:rPr>
          <w:rFonts w:eastAsiaTheme="minorEastAsia"/>
          <w:kern w:val="24"/>
          <w:sz w:val="22"/>
          <w:szCs w:val="22"/>
        </w:rPr>
        <w:t xml:space="preserve">. </w:t>
      </w:r>
    </w:p>
    <w:p w14:paraId="7062BB21" w14:textId="0DC30882" w:rsidR="00CB6C5A" w:rsidRPr="00ED0F91" w:rsidRDefault="00CB6C5A" w:rsidP="00CB6C5A">
      <w:pPr>
        <w:pStyle w:val="NormalWeb"/>
        <w:spacing w:before="0" w:beforeAutospacing="0" w:after="0" w:afterAutospacing="0"/>
        <w:ind w:firstLine="720"/>
        <w:rPr>
          <w:rFonts w:eastAsiaTheme="minorEastAsia"/>
          <w:kern w:val="24"/>
          <w:sz w:val="22"/>
          <w:szCs w:val="22"/>
        </w:rPr>
      </w:pPr>
      <w:r w:rsidRPr="00ED0F91">
        <w:rPr>
          <w:rFonts w:eastAsiaTheme="minorEastAsia"/>
          <w:kern w:val="24"/>
          <w:sz w:val="22"/>
          <w:szCs w:val="22"/>
        </w:rPr>
        <w:t xml:space="preserve">The last study that was evaluated was an indirect comparison </w:t>
      </w:r>
      <w:r w:rsidR="00074D5E" w:rsidRPr="00ED0F91">
        <w:rPr>
          <w:rFonts w:eastAsiaTheme="minorEastAsia"/>
          <w:kern w:val="24"/>
          <w:sz w:val="22"/>
          <w:szCs w:val="22"/>
        </w:rPr>
        <w:t>meta-analysis</w:t>
      </w:r>
      <w:r w:rsidRPr="00ED0F91">
        <w:rPr>
          <w:rFonts w:eastAsiaTheme="minorEastAsia"/>
          <w:kern w:val="24"/>
          <w:sz w:val="22"/>
          <w:szCs w:val="22"/>
        </w:rPr>
        <w:t xml:space="preserve"> by Chan et al</w:t>
      </w:r>
      <w:r w:rsidR="00074D5E">
        <w:rPr>
          <w:rFonts w:eastAsiaTheme="minorEastAsia"/>
          <w:kern w:val="24"/>
          <w:sz w:val="22"/>
          <w:szCs w:val="22"/>
        </w:rPr>
        <w:t xml:space="preserve"> (2019).</w:t>
      </w:r>
      <w:r w:rsidRPr="00ED0F91">
        <w:rPr>
          <w:rFonts w:eastAsiaTheme="minorEastAsia"/>
          <w:kern w:val="24"/>
          <w:sz w:val="22"/>
          <w:szCs w:val="22"/>
        </w:rPr>
        <w:t xml:space="preserve"> They found that infliximab was not significantly more beneficial than second IVIG infusion with respect to reducing the total incidence rate of CALs in patients with </w:t>
      </w:r>
      <w:r w:rsidR="00074D5E">
        <w:rPr>
          <w:rFonts w:eastAsiaTheme="minorEastAsia"/>
          <w:kern w:val="24"/>
          <w:sz w:val="22"/>
          <w:szCs w:val="22"/>
        </w:rPr>
        <w:t>IVIG</w:t>
      </w:r>
      <w:r w:rsidR="00074D5E" w:rsidRPr="00ED0F91">
        <w:rPr>
          <w:rFonts w:eastAsiaTheme="minorEastAsia"/>
          <w:kern w:val="24"/>
          <w:sz w:val="22"/>
          <w:szCs w:val="22"/>
        </w:rPr>
        <w:t xml:space="preserve"> resistant</w:t>
      </w:r>
      <w:r w:rsidRPr="00ED0F91">
        <w:rPr>
          <w:rFonts w:eastAsiaTheme="minorEastAsia"/>
          <w:kern w:val="24"/>
          <w:sz w:val="22"/>
          <w:szCs w:val="22"/>
        </w:rPr>
        <w:t xml:space="preserve"> KD. With regards to antipyretic effects</w:t>
      </w:r>
      <w:r w:rsidR="00074D5E">
        <w:rPr>
          <w:rFonts w:eastAsiaTheme="minorEastAsia"/>
          <w:kern w:val="24"/>
          <w:sz w:val="22"/>
          <w:szCs w:val="22"/>
        </w:rPr>
        <w:t xml:space="preserve"> </w:t>
      </w:r>
      <w:r w:rsidRPr="00ED0F91">
        <w:rPr>
          <w:rFonts w:eastAsiaTheme="minorEastAsia"/>
          <w:kern w:val="24"/>
          <w:sz w:val="22"/>
          <w:szCs w:val="22"/>
        </w:rPr>
        <w:t>infliximab was associated with significant antipyretic effects compared to a second IVIG infusion.</w:t>
      </w:r>
    </w:p>
    <w:p w14:paraId="074B124D" w14:textId="5035F43C" w:rsidR="004013ED" w:rsidRPr="00CB6C5A" w:rsidRDefault="006373C2" w:rsidP="004013ED">
      <w:pPr>
        <w:pStyle w:val="NormalWeb"/>
        <w:spacing w:before="0" w:beforeAutospacing="0" w:after="0" w:afterAutospacing="0"/>
        <w:ind w:firstLine="720"/>
        <w:rPr>
          <w:rFonts w:eastAsiaTheme="minorEastAsia"/>
          <w:kern w:val="24"/>
          <w:sz w:val="22"/>
          <w:szCs w:val="22"/>
        </w:rPr>
      </w:pPr>
      <w:hyperlink r:id="rId5" w:history="1">
        <w:r w:rsidR="00CB6C5A" w:rsidRPr="00CB6C5A">
          <w:rPr>
            <w:rStyle w:val="Hyperlink"/>
            <w:rFonts w:eastAsiaTheme="minorEastAsia"/>
            <w:color w:val="auto"/>
            <w:kern w:val="24"/>
            <w:sz w:val="22"/>
            <w:szCs w:val="22"/>
            <w:u w:val="none"/>
          </w:rPr>
          <w:t>TNF inhibitors</w:t>
        </w:r>
      </w:hyperlink>
      <w:r w:rsidR="00CB6C5A" w:rsidRPr="00CB6C5A">
        <w:rPr>
          <w:rFonts w:eastAsiaTheme="minorEastAsia"/>
          <w:kern w:val="24"/>
          <w:sz w:val="22"/>
          <w:szCs w:val="22"/>
        </w:rPr>
        <w:t>, including infliximab, have potent </w:t>
      </w:r>
      <w:hyperlink r:id="rId6" w:history="1">
        <w:r w:rsidR="00CB6C5A" w:rsidRPr="00CB6C5A">
          <w:rPr>
            <w:rStyle w:val="Hyperlink"/>
            <w:rFonts w:eastAsiaTheme="minorEastAsia"/>
            <w:color w:val="auto"/>
            <w:kern w:val="24"/>
            <w:sz w:val="22"/>
            <w:szCs w:val="22"/>
            <w:u w:val="none"/>
          </w:rPr>
          <w:t>anti-inflammatory effects</w:t>
        </w:r>
      </w:hyperlink>
      <w:r w:rsidR="00CB6C5A" w:rsidRPr="00CB6C5A">
        <w:rPr>
          <w:rFonts w:eastAsiaTheme="minorEastAsia"/>
          <w:kern w:val="24"/>
          <w:sz w:val="22"/>
          <w:szCs w:val="22"/>
        </w:rPr>
        <w:t>. Blockade of the inflammatory cascade at the level of </w:t>
      </w:r>
      <w:r w:rsidR="00074D5E">
        <w:rPr>
          <w:rFonts w:eastAsiaTheme="minorEastAsia"/>
          <w:kern w:val="24"/>
          <w:sz w:val="22"/>
          <w:szCs w:val="22"/>
        </w:rPr>
        <w:t>TNF alpha</w:t>
      </w:r>
      <w:r w:rsidR="00CB6C5A" w:rsidRPr="00CB6C5A">
        <w:rPr>
          <w:rFonts w:eastAsiaTheme="minorEastAsia"/>
          <w:kern w:val="24"/>
          <w:sz w:val="22"/>
          <w:szCs w:val="22"/>
        </w:rPr>
        <w:t xml:space="preserve"> seems to be a logical step in the treatment of KD because elevated levels of this cytokine have been found in the blood of </w:t>
      </w:r>
      <w:r w:rsidR="00074D5E">
        <w:rPr>
          <w:rFonts w:eastAsiaTheme="minorEastAsia"/>
          <w:kern w:val="24"/>
          <w:sz w:val="22"/>
          <w:szCs w:val="22"/>
        </w:rPr>
        <w:t>these patients</w:t>
      </w:r>
      <w:r w:rsidR="00CB6C5A" w:rsidRPr="00CB6C5A">
        <w:rPr>
          <w:rFonts w:eastAsiaTheme="minorEastAsia"/>
          <w:kern w:val="24"/>
          <w:sz w:val="22"/>
          <w:szCs w:val="22"/>
        </w:rPr>
        <w:t>. From these studies that were explored, it seems</w:t>
      </w:r>
      <w:r w:rsidR="00CB6C5A" w:rsidRPr="00ED0F91">
        <w:rPr>
          <w:rFonts w:eastAsiaTheme="minorEastAsia"/>
          <w:kern w:val="24"/>
          <w:sz w:val="22"/>
          <w:szCs w:val="22"/>
        </w:rPr>
        <w:t xml:space="preserve"> that</w:t>
      </w:r>
      <w:r w:rsidR="00CB6C5A" w:rsidRPr="00CB6C5A">
        <w:rPr>
          <w:rFonts w:eastAsiaTheme="minorEastAsia"/>
          <w:kern w:val="24"/>
          <w:sz w:val="22"/>
          <w:szCs w:val="22"/>
        </w:rPr>
        <w:t xml:space="preserve"> infliximab </w:t>
      </w:r>
      <w:r w:rsidR="00CB6C5A" w:rsidRPr="00ED0F91">
        <w:rPr>
          <w:rFonts w:eastAsiaTheme="minorEastAsia"/>
          <w:kern w:val="24"/>
          <w:sz w:val="22"/>
          <w:szCs w:val="22"/>
        </w:rPr>
        <w:t>has the</w:t>
      </w:r>
      <w:r w:rsidR="00CB6C5A" w:rsidRPr="00CB6C5A">
        <w:rPr>
          <w:rFonts w:eastAsiaTheme="minorEastAsia"/>
          <w:kern w:val="24"/>
          <w:sz w:val="22"/>
          <w:szCs w:val="22"/>
        </w:rPr>
        <w:t xml:space="preserve"> potential to have </w:t>
      </w:r>
      <w:r w:rsidR="00074D5E">
        <w:rPr>
          <w:rFonts w:eastAsiaTheme="minorEastAsia"/>
          <w:kern w:val="24"/>
          <w:sz w:val="22"/>
          <w:szCs w:val="22"/>
        </w:rPr>
        <w:t xml:space="preserve">more </w:t>
      </w:r>
      <w:r w:rsidR="00CB6C5A" w:rsidRPr="00CB6C5A">
        <w:rPr>
          <w:rFonts w:eastAsiaTheme="minorEastAsia"/>
          <w:kern w:val="24"/>
          <w:sz w:val="22"/>
          <w:szCs w:val="22"/>
        </w:rPr>
        <w:t>potent anti pyretic properties, representing decreased inflammation and decreased need for addition retreatment. However, patients’ coronary artery outcomes did not differ in the treatment groups</w:t>
      </w:r>
      <w:r w:rsidR="00074D5E">
        <w:rPr>
          <w:rFonts w:eastAsiaTheme="minorEastAsia"/>
          <w:kern w:val="24"/>
          <w:sz w:val="22"/>
          <w:szCs w:val="22"/>
        </w:rPr>
        <w:t xml:space="preserve">, </w:t>
      </w:r>
      <w:r w:rsidR="00074D5E" w:rsidRPr="00CB6C5A">
        <w:rPr>
          <w:rFonts w:eastAsiaTheme="minorEastAsia"/>
          <w:kern w:val="24"/>
          <w:sz w:val="22"/>
          <w:szCs w:val="22"/>
        </w:rPr>
        <w:t>therefore,</w:t>
      </w:r>
      <w:r w:rsidR="00CB6C5A" w:rsidRPr="00CB6C5A">
        <w:rPr>
          <w:rFonts w:eastAsiaTheme="minorEastAsia"/>
          <w:kern w:val="24"/>
          <w:sz w:val="22"/>
          <w:szCs w:val="22"/>
        </w:rPr>
        <w:t xml:space="preserve"> making it likely that it is less effective at halting the inflammation at the vessel wall. </w:t>
      </w:r>
      <w:r w:rsidR="00ED0F91" w:rsidRPr="00ED0F91">
        <w:rPr>
          <w:rFonts w:eastAsiaTheme="minorEastAsia"/>
          <w:kern w:val="24"/>
          <w:sz w:val="22"/>
          <w:szCs w:val="22"/>
        </w:rPr>
        <w:t>Larger</w:t>
      </w:r>
      <w:r w:rsidR="00CB6C5A" w:rsidRPr="00CB6C5A">
        <w:rPr>
          <w:rFonts w:eastAsiaTheme="minorEastAsia"/>
          <w:kern w:val="24"/>
          <w:sz w:val="22"/>
          <w:szCs w:val="22"/>
        </w:rPr>
        <w:t xml:space="preserve"> randomized control trials </w:t>
      </w:r>
      <w:r w:rsidR="00CB6C5A" w:rsidRPr="00ED0F91">
        <w:rPr>
          <w:rFonts w:eastAsiaTheme="minorEastAsia"/>
          <w:kern w:val="24"/>
          <w:sz w:val="22"/>
          <w:szCs w:val="22"/>
        </w:rPr>
        <w:t xml:space="preserve">with longer follow up times </w:t>
      </w:r>
      <w:r w:rsidR="00CB6C5A" w:rsidRPr="00CB6C5A">
        <w:rPr>
          <w:rFonts w:eastAsiaTheme="minorEastAsia"/>
          <w:kern w:val="24"/>
          <w:sz w:val="22"/>
          <w:szCs w:val="22"/>
        </w:rPr>
        <w:t xml:space="preserve">need to be performed. </w:t>
      </w:r>
      <w:r w:rsidR="00CB6C5A" w:rsidRPr="00ED0F91">
        <w:rPr>
          <w:rFonts w:eastAsiaTheme="minorEastAsia"/>
          <w:kern w:val="24"/>
          <w:sz w:val="22"/>
          <w:szCs w:val="22"/>
        </w:rPr>
        <w:t>Additionally, m</w:t>
      </w:r>
      <w:r w:rsidR="00074D5E">
        <w:rPr>
          <w:rFonts w:eastAsiaTheme="minorEastAsia"/>
          <w:kern w:val="24"/>
          <w:sz w:val="22"/>
          <w:szCs w:val="22"/>
        </w:rPr>
        <w:t xml:space="preserve">uch of the literature </w:t>
      </w:r>
      <w:r w:rsidR="00CB6C5A" w:rsidRPr="00ED0F91">
        <w:rPr>
          <w:rFonts w:eastAsiaTheme="minorEastAsia"/>
          <w:kern w:val="24"/>
          <w:sz w:val="22"/>
          <w:szCs w:val="22"/>
        </w:rPr>
        <w:t xml:space="preserve">only </w:t>
      </w:r>
      <w:r w:rsidR="00074D5E">
        <w:rPr>
          <w:rFonts w:eastAsiaTheme="minorEastAsia"/>
          <w:kern w:val="24"/>
          <w:sz w:val="22"/>
          <w:szCs w:val="22"/>
        </w:rPr>
        <w:t>includes</w:t>
      </w:r>
      <w:r w:rsidR="00CB6C5A" w:rsidRPr="00ED0F91">
        <w:rPr>
          <w:rFonts w:eastAsiaTheme="minorEastAsia"/>
          <w:kern w:val="24"/>
          <w:sz w:val="22"/>
          <w:szCs w:val="22"/>
        </w:rPr>
        <w:t xml:space="preserve"> lower risk patients, with higher risk patients removed and treated at provider discretion.</w:t>
      </w:r>
      <w:r w:rsidR="00ED0F91" w:rsidRPr="00ED0F91">
        <w:rPr>
          <w:rFonts w:eastAsiaTheme="minorEastAsia"/>
          <w:kern w:val="24"/>
          <w:sz w:val="22"/>
          <w:szCs w:val="22"/>
        </w:rPr>
        <w:t xml:space="preserve"> Given that infliximab has already been shown to be safe and effective, further investigation </w:t>
      </w:r>
      <w:r w:rsidR="00074D5E">
        <w:rPr>
          <w:rFonts w:eastAsiaTheme="minorEastAsia"/>
          <w:kern w:val="24"/>
          <w:sz w:val="22"/>
          <w:szCs w:val="22"/>
        </w:rPr>
        <w:t>is</w:t>
      </w:r>
      <w:r w:rsidR="00ED0F91" w:rsidRPr="00ED0F91">
        <w:rPr>
          <w:rFonts w:eastAsiaTheme="minorEastAsia"/>
          <w:kern w:val="24"/>
          <w:sz w:val="22"/>
          <w:szCs w:val="22"/>
        </w:rPr>
        <w:t xml:space="preserve"> warranted</w:t>
      </w:r>
      <w:r w:rsidR="00074D5E">
        <w:rPr>
          <w:rFonts w:eastAsiaTheme="minorEastAsia"/>
          <w:kern w:val="24"/>
          <w:sz w:val="22"/>
          <w:szCs w:val="22"/>
        </w:rPr>
        <w:t>,</w:t>
      </w:r>
      <w:r w:rsidR="00ED0F91" w:rsidRPr="00ED0F91">
        <w:rPr>
          <w:rFonts w:eastAsiaTheme="minorEastAsia"/>
          <w:kern w:val="24"/>
          <w:sz w:val="22"/>
          <w:szCs w:val="22"/>
        </w:rPr>
        <w:t xml:space="preserve"> especially because IVIG </w:t>
      </w:r>
      <w:r w:rsidR="00074D5E">
        <w:rPr>
          <w:rFonts w:eastAsiaTheme="minorEastAsia"/>
          <w:kern w:val="24"/>
          <w:sz w:val="22"/>
          <w:szCs w:val="22"/>
        </w:rPr>
        <w:t>is not without harm.</w:t>
      </w:r>
      <w:r w:rsidR="00ED0F91" w:rsidRPr="00ED0F91">
        <w:rPr>
          <w:rFonts w:eastAsiaTheme="minorEastAsia"/>
          <w:kern w:val="24"/>
          <w:sz w:val="22"/>
          <w:szCs w:val="22"/>
        </w:rPr>
        <w:t xml:space="preserve"> </w:t>
      </w:r>
      <w:r w:rsidR="004013ED" w:rsidRPr="00ED0F91">
        <w:rPr>
          <w:rFonts w:eastAsiaTheme="minorEastAsia"/>
          <w:kern w:val="24"/>
          <w:sz w:val="22"/>
          <w:szCs w:val="22"/>
        </w:rPr>
        <w:t xml:space="preserve">A study published in 2020 </w:t>
      </w:r>
      <w:r w:rsidR="00074D5E">
        <w:rPr>
          <w:rFonts w:eastAsiaTheme="minorEastAsia"/>
          <w:kern w:val="24"/>
          <w:sz w:val="22"/>
          <w:szCs w:val="22"/>
        </w:rPr>
        <w:t>evaluated</w:t>
      </w:r>
      <w:r w:rsidR="004013ED" w:rsidRPr="00CB6C5A">
        <w:rPr>
          <w:rFonts w:eastAsiaTheme="minorEastAsia"/>
          <w:kern w:val="24"/>
          <w:sz w:val="22"/>
          <w:szCs w:val="22"/>
        </w:rPr>
        <w:t xml:space="preserve"> the cost between IVIG and infliximab based on expense of medication, dose of medication, infusion time, monitoring time</w:t>
      </w:r>
      <w:r w:rsidR="004013ED" w:rsidRPr="00ED0F91">
        <w:rPr>
          <w:rFonts w:eastAsiaTheme="minorEastAsia"/>
          <w:kern w:val="24"/>
          <w:sz w:val="22"/>
          <w:szCs w:val="22"/>
        </w:rPr>
        <w:t>. T</w:t>
      </w:r>
      <w:r w:rsidR="004013ED" w:rsidRPr="00CB6C5A">
        <w:rPr>
          <w:rFonts w:eastAsiaTheme="minorEastAsia"/>
          <w:kern w:val="24"/>
          <w:sz w:val="22"/>
          <w:szCs w:val="22"/>
        </w:rPr>
        <w:t xml:space="preserve">hey </w:t>
      </w:r>
      <w:r w:rsidR="004013ED" w:rsidRPr="00ED0F91">
        <w:rPr>
          <w:rFonts w:eastAsiaTheme="minorEastAsia"/>
          <w:kern w:val="24"/>
          <w:sz w:val="22"/>
          <w:szCs w:val="22"/>
        </w:rPr>
        <w:t>concluded</w:t>
      </w:r>
      <w:r w:rsidR="004013ED" w:rsidRPr="00CB6C5A">
        <w:rPr>
          <w:rFonts w:eastAsiaTheme="minorEastAsia"/>
          <w:kern w:val="24"/>
          <w:sz w:val="22"/>
          <w:szCs w:val="22"/>
        </w:rPr>
        <w:t xml:space="preserve"> that the cost of infliximab is nearly half. </w:t>
      </w:r>
      <w:r w:rsidR="004013ED" w:rsidRPr="00ED0F91">
        <w:rPr>
          <w:rFonts w:eastAsiaTheme="minorEastAsia"/>
          <w:kern w:val="24"/>
          <w:sz w:val="22"/>
          <w:szCs w:val="22"/>
        </w:rPr>
        <w:t xml:space="preserve">Additionally, much of the literature states that IVIG and infliximab have similar safety profiles and adverse effects. Overall, infliximab seems to be a safe, well tolerated and effective </w:t>
      </w:r>
      <w:r w:rsidR="00ED0F91" w:rsidRPr="00ED0F91">
        <w:rPr>
          <w:rFonts w:eastAsiaTheme="minorEastAsia"/>
          <w:kern w:val="24"/>
          <w:sz w:val="22"/>
          <w:szCs w:val="22"/>
        </w:rPr>
        <w:t xml:space="preserve">alternative </w:t>
      </w:r>
      <w:r w:rsidR="004013ED" w:rsidRPr="00ED0F91">
        <w:rPr>
          <w:rFonts w:eastAsiaTheme="minorEastAsia"/>
          <w:kern w:val="24"/>
          <w:sz w:val="22"/>
          <w:szCs w:val="22"/>
        </w:rPr>
        <w:t>treatment option for patients with IVIG resistant Kawasaki Disease.</w:t>
      </w:r>
    </w:p>
    <w:p w14:paraId="0B003115" w14:textId="77777777" w:rsidR="00CB6C5A" w:rsidRPr="00ED0F91" w:rsidRDefault="00CB6C5A" w:rsidP="00CB6C5A">
      <w:pPr>
        <w:pStyle w:val="NormalWeb"/>
        <w:spacing w:before="0" w:beforeAutospacing="0" w:after="0" w:afterAutospacing="0"/>
        <w:ind w:firstLine="720"/>
        <w:rPr>
          <w:rFonts w:eastAsiaTheme="minorEastAsia"/>
          <w:color w:val="2E2E2E"/>
          <w:kern w:val="24"/>
          <w:sz w:val="22"/>
          <w:szCs w:val="22"/>
        </w:rPr>
      </w:pPr>
    </w:p>
    <w:p w14:paraId="03A94A27" w14:textId="77777777" w:rsidR="00ED0F91" w:rsidRPr="00ED0F91" w:rsidRDefault="00ED0F91" w:rsidP="00ED0F91">
      <w:pPr>
        <w:pStyle w:val="NormalWeb"/>
        <w:spacing w:before="0" w:after="0"/>
        <w:rPr>
          <w:rFonts w:eastAsiaTheme="minorEastAsia"/>
          <w:color w:val="2E2E2E"/>
          <w:kern w:val="24"/>
          <w:sz w:val="16"/>
          <w:szCs w:val="16"/>
        </w:rPr>
      </w:pPr>
      <w:r w:rsidRPr="00ED0F91">
        <w:rPr>
          <w:rFonts w:eastAsiaTheme="minorEastAsia"/>
          <w:color w:val="2E2E2E"/>
          <w:kern w:val="24"/>
          <w:sz w:val="16"/>
          <w:szCs w:val="16"/>
        </w:rPr>
        <w:t>Burns JC, Roberts SC, Tremoulet AH, He F, Printz BF, Ashouri N, Jain SS, Michalik DE, Sharma K, Truong DT, Wood JB, Kim KK, Jain S; KIDCARE Multicenter Study Group. Infliximab versus second intravenous immunoglobulin for treatment of resistant Kawasaki disease in the USA (KIDCARE): a randomised, multicentre comparative effectiveness trial. Lancet Child Adolesc Health. 2021 Dec;5(12):852-861. doi: 10.1016/S2352-4642(21)00270-4. PMID: 34715057.</w:t>
      </w:r>
    </w:p>
    <w:p w14:paraId="108E79DC" w14:textId="77777777" w:rsidR="00ED0F91" w:rsidRPr="00ED0F91" w:rsidRDefault="00ED0F91" w:rsidP="00ED0F91">
      <w:pPr>
        <w:pStyle w:val="NormalWeb"/>
        <w:spacing w:before="0" w:after="0"/>
        <w:rPr>
          <w:rFonts w:eastAsiaTheme="minorEastAsia"/>
          <w:color w:val="2E2E2E"/>
          <w:kern w:val="24"/>
          <w:sz w:val="16"/>
          <w:szCs w:val="16"/>
        </w:rPr>
      </w:pPr>
      <w:r w:rsidRPr="00ED0F91">
        <w:rPr>
          <w:rFonts w:eastAsiaTheme="minorEastAsia"/>
          <w:color w:val="2E2E2E"/>
          <w:kern w:val="24"/>
          <w:sz w:val="16"/>
          <w:szCs w:val="16"/>
        </w:rPr>
        <w:t>Chan H, Chi H, You H, Wang M, Zhang G, Yang H, Li Q. Indirect-comparison meta-analysis of treatment options for patients with refractory Kawasaki disease. BMC Pediatr. 2019 May 17;19(1):158. doi: 10.1186/s12887-019-1504-9. PMID: 31101091; PMCID: PMC6524334.</w:t>
      </w:r>
    </w:p>
    <w:p w14:paraId="44E5AF88" w14:textId="77777777" w:rsidR="00ED0F91" w:rsidRPr="00ED0F91" w:rsidRDefault="00ED0F91" w:rsidP="00ED0F91">
      <w:pPr>
        <w:pStyle w:val="NormalWeb"/>
        <w:spacing w:before="0" w:after="0"/>
        <w:rPr>
          <w:rFonts w:eastAsiaTheme="minorEastAsia"/>
          <w:color w:val="2E2E2E"/>
          <w:kern w:val="24"/>
          <w:sz w:val="16"/>
          <w:szCs w:val="16"/>
        </w:rPr>
      </w:pPr>
      <w:r w:rsidRPr="00ED0F91">
        <w:rPr>
          <w:rFonts w:eastAsiaTheme="minorEastAsia"/>
          <w:color w:val="2E2E2E"/>
          <w:kern w:val="24"/>
          <w:sz w:val="16"/>
          <w:szCs w:val="16"/>
        </w:rPr>
        <w:t>Johnson SC, Williams DC, Brinton D, Chew M, Simpson A, Andrews AL. A Cost Comparison of Infliximab Versus Intravenous Immunoglobulin for Refractory Kawasaki Disease Treatment. Hosp Pediatr. 2021 Jan;11(1):88-93. doi: 10.1542/hpeds.2020-0188. Epub 2020 Dec 8. PMID: 33293266; PMCID: PMC7769204.</w:t>
      </w:r>
    </w:p>
    <w:p w14:paraId="3A8BE09A" w14:textId="1A38E87A" w:rsidR="00ED0F91" w:rsidRPr="00ED0F91" w:rsidRDefault="00ED0F91" w:rsidP="00ED0F91">
      <w:pPr>
        <w:pStyle w:val="NormalWeb"/>
        <w:spacing w:before="0" w:after="0"/>
        <w:rPr>
          <w:rFonts w:eastAsiaTheme="minorEastAsia"/>
          <w:color w:val="2E2E2E"/>
          <w:kern w:val="24"/>
          <w:sz w:val="16"/>
          <w:szCs w:val="16"/>
        </w:rPr>
      </w:pPr>
      <w:r w:rsidRPr="00ED0F91">
        <w:rPr>
          <w:rFonts w:eastAsiaTheme="minorEastAsia"/>
          <w:color w:val="2E2E2E"/>
          <w:kern w:val="24"/>
          <w:sz w:val="16"/>
          <w:szCs w:val="16"/>
        </w:rPr>
        <w:t>Mori M, Hara T, Kikuchi M, Shimizu H, Miyamoto T, Iwashima S, Oonishi T, Hashimoto K, Kobayashi N, Waki K, Suzuki Y, Otsubo Y, Yamada H, Ishikawa C, Kato T, Fuse S. Infliximab versus intravenous immunoglobulin for refractory Kawasaki disease: a phase 3, randomized, open-label, active-controlled, parallel-group, multicenter trial. Sci Rep. 2018 Jan 31;8(1):1994. doi: 10.1038/s41598-017-18387-7. PMID: 29386515; PMCID: PMC5792468.</w:t>
      </w:r>
    </w:p>
    <w:p w14:paraId="6A8E35E8" w14:textId="6CB6E5F0" w:rsidR="00ED0F91" w:rsidRPr="00ED0F91" w:rsidRDefault="00ED0F91" w:rsidP="00ED0F91">
      <w:pPr>
        <w:pStyle w:val="NormalWeb"/>
        <w:spacing w:before="0" w:after="0"/>
        <w:rPr>
          <w:rFonts w:eastAsiaTheme="minorEastAsia"/>
          <w:color w:val="2E2E2E"/>
          <w:kern w:val="24"/>
          <w:sz w:val="16"/>
          <w:szCs w:val="16"/>
        </w:rPr>
      </w:pPr>
      <w:r w:rsidRPr="00ED0F91">
        <w:rPr>
          <w:rFonts w:eastAsiaTheme="minorEastAsia"/>
          <w:color w:val="2E2E2E"/>
          <w:kern w:val="24"/>
          <w:sz w:val="16"/>
          <w:szCs w:val="16"/>
        </w:rPr>
        <w:t>Newburger JW, Takahashi M, Burns JC. Kawasaki Disease. J Am Coll Cardiol. 2016 Apr 12;67(14):1738-49. doi: 10.1016/j.jacc.2015.12.073. PMID: 27056781.</w:t>
      </w:r>
    </w:p>
    <w:p w14:paraId="2A42568E" w14:textId="77777777" w:rsidR="00ED0F91" w:rsidRPr="00ED0F91" w:rsidRDefault="00ED0F91" w:rsidP="00ED0F91">
      <w:pPr>
        <w:pStyle w:val="NormalWeb"/>
        <w:spacing w:before="0" w:after="0"/>
        <w:rPr>
          <w:rFonts w:eastAsiaTheme="minorEastAsia"/>
          <w:color w:val="2E2E2E"/>
          <w:kern w:val="24"/>
          <w:sz w:val="16"/>
          <w:szCs w:val="16"/>
        </w:rPr>
      </w:pPr>
      <w:r w:rsidRPr="00ED0F91">
        <w:rPr>
          <w:rFonts w:eastAsiaTheme="minorEastAsia"/>
          <w:color w:val="2E2E2E"/>
          <w:kern w:val="24"/>
          <w:sz w:val="16"/>
          <w:szCs w:val="16"/>
        </w:rPr>
        <w:t>Son MB, Gauvreau K, Burns JC, Corinaldesi E, Tremoulet AH, Watson VE, Baker A, Fulton DR, Sundel RP, Newburger JW. Infliximab for intravenous immunoglobulin resistance in Kawasaki disease: a retrospective study. J Pediatr. 2011 Apr;158(4):644-649.e1. doi: 10.1016/j.jpeds.2010.10.012. Epub 2010 Dec 3. PMID: 21129756.</w:t>
      </w:r>
    </w:p>
    <w:p w14:paraId="074A65A5" w14:textId="2B721EC8" w:rsidR="009D49F0" w:rsidRPr="00781D3F" w:rsidRDefault="009D49F0" w:rsidP="00781D3F">
      <w:pPr>
        <w:spacing w:after="0"/>
        <w:ind w:firstLine="720"/>
        <w:rPr>
          <w:rFonts w:ascii="Times New Roman" w:hAnsi="Times New Roman" w:cs="Times New Roman"/>
          <w:color w:val="000000"/>
          <w:shd w:val="clear" w:color="auto" w:fill="FFFFFF"/>
        </w:rPr>
      </w:pPr>
    </w:p>
    <w:sectPr w:rsidR="009D49F0" w:rsidRPr="00781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A3EEB"/>
    <w:multiLevelType w:val="hybridMultilevel"/>
    <w:tmpl w:val="FB22035C"/>
    <w:lvl w:ilvl="0" w:tplc="3BD0077C">
      <w:start w:val="1"/>
      <w:numFmt w:val="bullet"/>
      <w:lvlText w:val=""/>
      <w:lvlJc w:val="left"/>
      <w:pPr>
        <w:tabs>
          <w:tab w:val="num" w:pos="720"/>
        </w:tabs>
        <w:ind w:left="720" w:hanging="360"/>
      </w:pPr>
      <w:rPr>
        <w:rFonts w:ascii="Wingdings" w:hAnsi="Wingdings" w:hint="default"/>
      </w:rPr>
    </w:lvl>
    <w:lvl w:ilvl="1" w:tplc="65CCAC56" w:tentative="1">
      <w:start w:val="1"/>
      <w:numFmt w:val="bullet"/>
      <w:lvlText w:val=""/>
      <w:lvlJc w:val="left"/>
      <w:pPr>
        <w:tabs>
          <w:tab w:val="num" w:pos="1440"/>
        </w:tabs>
        <w:ind w:left="1440" w:hanging="360"/>
      </w:pPr>
      <w:rPr>
        <w:rFonts w:ascii="Wingdings" w:hAnsi="Wingdings" w:hint="default"/>
      </w:rPr>
    </w:lvl>
    <w:lvl w:ilvl="2" w:tplc="1564EBE6" w:tentative="1">
      <w:start w:val="1"/>
      <w:numFmt w:val="bullet"/>
      <w:lvlText w:val=""/>
      <w:lvlJc w:val="left"/>
      <w:pPr>
        <w:tabs>
          <w:tab w:val="num" w:pos="2160"/>
        </w:tabs>
        <w:ind w:left="2160" w:hanging="360"/>
      </w:pPr>
      <w:rPr>
        <w:rFonts w:ascii="Wingdings" w:hAnsi="Wingdings" w:hint="default"/>
      </w:rPr>
    </w:lvl>
    <w:lvl w:ilvl="3" w:tplc="62E44FBE" w:tentative="1">
      <w:start w:val="1"/>
      <w:numFmt w:val="bullet"/>
      <w:lvlText w:val=""/>
      <w:lvlJc w:val="left"/>
      <w:pPr>
        <w:tabs>
          <w:tab w:val="num" w:pos="2880"/>
        </w:tabs>
        <w:ind w:left="2880" w:hanging="360"/>
      </w:pPr>
      <w:rPr>
        <w:rFonts w:ascii="Wingdings" w:hAnsi="Wingdings" w:hint="default"/>
      </w:rPr>
    </w:lvl>
    <w:lvl w:ilvl="4" w:tplc="B22E30BC" w:tentative="1">
      <w:start w:val="1"/>
      <w:numFmt w:val="bullet"/>
      <w:lvlText w:val=""/>
      <w:lvlJc w:val="left"/>
      <w:pPr>
        <w:tabs>
          <w:tab w:val="num" w:pos="3600"/>
        </w:tabs>
        <w:ind w:left="3600" w:hanging="360"/>
      </w:pPr>
      <w:rPr>
        <w:rFonts w:ascii="Wingdings" w:hAnsi="Wingdings" w:hint="default"/>
      </w:rPr>
    </w:lvl>
    <w:lvl w:ilvl="5" w:tplc="FB84A314" w:tentative="1">
      <w:start w:val="1"/>
      <w:numFmt w:val="bullet"/>
      <w:lvlText w:val=""/>
      <w:lvlJc w:val="left"/>
      <w:pPr>
        <w:tabs>
          <w:tab w:val="num" w:pos="4320"/>
        </w:tabs>
        <w:ind w:left="4320" w:hanging="360"/>
      </w:pPr>
      <w:rPr>
        <w:rFonts w:ascii="Wingdings" w:hAnsi="Wingdings" w:hint="default"/>
      </w:rPr>
    </w:lvl>
    <w:lvl w:ilvl="6" w:tplc="D9423FCE" w:tentative="1">
      <w:start w:val="1"/>
      <w:numFmt w:val="bullet"/>
      <w:lvlText w:val=""/>
      <w:lvlJc w:val="left"/>
      <w:pPr>
        <w:tabs>
          <w:tab w:val="num" w:pos="5040"/>
        </w:tabs>
        <w:ind w:left="5040" w:hanging="360"/>
      </w:pPr>
      <w:rPr>
        <w:rFonts w:ascii="Wingdings" w:hAnsi="Wingdings" w:hint="default"/>
      </w:rPr>
    </w:lvl>
    <w:lvl w:ilvl="7" w:tplc="3AFEA6A6" w:tentative="1">
      <w:start w:val="1"/>
      <w:numFmt w:val="bullet"/>
      <w:lvlText w:val=""/>
      <w:lvlJc w:val="left"/>
      <w:pPr>
        <w:tabs>
          <w:tab w:val="num" w:pos="5760"/>
        </w:tabs>
        <w:ind w:left="5760" w:hanging="360"/>
      </w:pPr>
      <w:rPr>
        <w:rFonts w:ascii="Wingdings" w:hAnsi="Wingdings" w:hint="default"/>
      </w:rPr>
    </w:lvl>
    <w:lvl w:ilvl="8" w:tplc="BB6A56E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A6"/>
    <w:rsid w:val="00074D5E"/>
    <w:rsid w:val="00101B83"/>
    <w:rsid w:val="00237867"/>
    <w:rsid w:val="00313DA9"/>
    <w:rsid w:val="00334717"/>
    <w:rsid w:val="003A31F5"/>
    <w:rsid w:val="004013ED"/>
    <w:rsid w:val="00451E5D"/>
    <w:rsid w:val="0047661A"/>
    <w:rsid w:val="00476D44"/>
    <w:rsid w:val="0049657D"/>
    <w:rsid w:val="005F6277"/>
    <w:rsid w:val="006373C2"/>
    <w:rsid w:val="00781D3F"/>
    <w:rsid w:val="007E27A6"/>
    <w:rsid w:val="009D49F0"/>
    <w:rsid w:val="00A04C92"/>
    <w:rsid w:val="00A55133"/>
    <w:rsid w:val="00BA1724"/>
    <w:rsid w:val="00C53FEB"/>
    <w:rsid w:val="00CB6C5A"/>
    <w:rsid w:val="00ED0F91"/>
    <w:rsid w:val="00F20B06"/>
    <w:rsid w:val="00F62973"/>
    <w:rsid w:val="00F6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E34E"/>
  <w15:chartTrackingRefBased/>
  <w15:docId w15:val="{D32930A9-6256-4E23-99E6-B9ACF2FF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l4tzlyeqv">
    <w:name w:val="markl4tzlyeqv"/>
    <w:basedOn w:val="DefaultParagraphFont"/>
    <w:rsid w:val="00F20B06"/>
  </w:style>
  <w:style w:type="paragraph" w:styleId="NormalWeb">
    <w:name w:val="Normal (Web)"/>
    <w:basedOn w:val="Normal"/>
    <w:uiPriority w:val="99"/>
    <w:unhideWhenUsed/>
    <w:rsid w:val="00101B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6C5A"/>
    <w:rPr>
      <w:color w:val="0563C1" w:themeColor="hyperlink"/>
      <w:u w:val="single"/>
    </w:rPr>
  </w:style>
  <w:style w:type="character" w:customStyle="1" w:styleId="UnresolvedMention">
    <w:name w:val="Unresolved Mention"/>
    <w:basedOn w:val="DefaultParagraphFont"/>
    <w:uiPriority w:val="99"/>
    <w:semiHidden/>
    <w:unhideWhenUsed/>
    <w:rsid w:val="00CB6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529">
      <w:bodyDiv w:val="1"/>
      <w:marLeft w:val="0"/>
      <w:marRight w:val="0"/>
      <w:marTop w:val="0"/>
      <w:marBottom w:val="0"/>
      <w:divBdr>
        <w:top w:val="none" w:sz="0" w:space="0" w:color="auto"/>
        <w:left w:val="none" w:sz="0" w:space="0" w:color="auto"/>
        <w:bottom w:val="none" w:sz="0" w:space="0" w:color="auto"/>
        <w:right w:val="none" w:sz="0" w:space="0" w:color="auto"/>
      </w:divBdr>
    </w:div>
    <w:div w:id="149756485">
      <w:bodyDiv w:val="1"/>
      <w:marLeft w:val="0"/>
      <w:marRight w:val="0"/>
      <w:marTop w:val="0"/>
      <w:marBottom w:val="0"/>
      <w:divBdr>
        <w:top w:val="none" w:sz="0" w:space="0" w:color="auto"/>
        <w:left w:val="none" w:sz="0" w:space="0" w:color="auto"/>
        <w:bottom w:val="none" w:sz="0" w:space="0" w:color="auto"/>
        <w:right w:val="none" w:sz="0" w:space="0" w:color="auto"/>
      </w:divBdr>
    </w:div>
    <w:div w:id="206183317">
      <w:bodyDiv w:val="1"/>
      <w:marLeft w:val="0"/>
      <w:marRight w:val="0"/>
      <w:marTop w:val="0"/>
      <w:marBottom w:val="0"/>
      <w:divBdr>
        <w:top w:val="none" w:sz="0" w:space="0" w:color="auto"/>
        <w:left w:val="none" w:sz="0" w:space="0" w:color="auto"/>
        <w:bottom w:val="none" w:sz="0" w:space="0" w:color="auto"/>
        <w:right w:val="none" w:sz="0" w:space="0" w:color="auto"/>
      </w:divBdr>
    </w:div>
    <w:div w:id="234821381">
      <w:bodyDiv w:val="1"/>
      <w:marLeft w:val="0"/>
      <w:marRight w:val="0"/>
      <w:marTop w:val="0"/>
      <w:marBottom w:val="0"/>
      <w:divBdr>
        <w:top w:val="none" w:sz="0" w:space="0" w:color="auto"/>
        <w:left w:val="none" w:sz="0" w:space="0" w:color="auto"/>
        <w:bottom w:val="none" w:sz="0" w:space="0" w:color="auto"/>
        <w:right w:val="none" w:sz="0" w:space="0" w:color="auto"/>
      </w:divBdr>
    </w:div>
    <w:div w:id="259678348">
      <w:bodyDiv w:val="1"/>
      <w:marLeft w:val="0"/>
      <w:marRight w:val="0"/>
      <w:marTop w:val="0"/>
      <w:marBottom w:val="0"/>
      <w:divBdr>
        <w:top w:val="none" w:sz="0" w:space="0" w:color="auto"/>
        <w:left w:val="none" w:sz="0" w:space="0" w:color="auto"/>
        <w:bottom w:val="none" w:sz="0" w:space="0" w:color="auto"/>
        <w:right w:val="none" w:sz="0" w:space="0" w:color="auto"/>
      </w:divBdr>
    </w:div>
    <w:div w:id="745110598">
      <w:bodyDiv w:val="1"/>
      <w:marLeft w:val="0"/>
      <w:marRight w:val="0"/>
      <w:marTop w:val="0"/>
      <w:marBottom w:val="0"/>
      <w:divBdr>
        <w:top w:val="none" w:sz="0" w:space="0" w:color="auto"/>
        <w:left w:val="none" w:sz="0" w:space="0" w:color="auto"/>
        <w:bottom w:val="none" w:sz="0" w:space="0" w:color="auto"/>
        <w:right w:val="none" w:sz="0" w:space="0" w:color="auto"/>
      </w:divBdr>
    </w:div>
    <w:div w:id="780955382">
      <w:bodyDiv w:val="1"/>
      <w:marLeft w:val="0"/>
      <w:marRight w:val="0"/>
      <w:marTop w:val="0"/>
      <w:marBottom w:val="0"/>
      <w:divBdr>
        <w:top w:val="none" w:sz="0" w:space="0" w:color="auto"/>
        <w:left w:val="none" w:sz="0" w:space="0" w:color="auto"/>
        <w:bottom w:val="none" w:sz="0" w:space="0" w:color="auto"/>
        <w:right w:val="none" w:sz="0" w:space="0" w:color="auto"/>
      </w:divBdr>
    </w:div>
    <w:div w:id="811797290">
      <w:bodyDiv w:val="1"/>
      <w:marLeft w:val="0"/>
      <w:marRight w:val="0"/>
      <w:marTop w:val="0"/>
      <w:marBottom w:val="0"/>
      <w:divBdr>
        <w:top w:val="none" w:sz="0" w:space="0" w:color="auto"/>
        <w:left w:val="none" w:sz="0" w:space="0" w:color="auto"/>
        <w:bottom w:val="none" w:sz="0" w:space="0" w:color="auto"/>
        <w:right w:val="none" w:sz="0" w:space="0" w:color="auto"/>
      </w:divBdr>
    </w:div>
    <w:div w:id="817695595">
      <w:bodyDiv w:val="1"/>
      <w:marLeft w:val="0"/>
      <w:marRight w:val="0"/>
      <w:marTop w:val="0"/>
      <w:marBottom w:val="0"/>
      <w:divBdr>
        <w:top w:val="none" w:sz="0" w:space="0" w:color="auto"/>
        <w:left w:val="none" w:sz="0" w:space="0" w:color="auto"/>
        <w:bottom w:val="none" w:sz="0" w:space="0" w:color="auto"/>
        <w:right w:val="none" w:sz="0" w:space="0" w:color="auto"/>
      </w:divBdr>
    </w:div>
    <w:div w:id="860624467">
      <w:bodyDiv w:val="1"/>
      <w:marLeft w:val="0"/>
      <w:marRight w:val="0"/>
      <w:marTop w:val="0"/>
      <w:marBottom w:val="0"/>
      <w:divBdr>
        <w:top w:val="none" w:sz="0" w:space="0" w:color="auto"/>
        <w:left w:val="none" w:sz="0" w:space="0" w:color="auto"/>
        <w:bottom w:val="none" w:sz="0" w:space="0" w:color="auto"/>
        <w:right w:val="none" w:sz="0" w:space="0" w:color="auto"/>
      </w:divBdr>
    </w:div>
    <w:div w:id="910625668">
      <w:bodyDiv w:val="1"/>
      <w:marLeft w:val="0"/>
      <w:marRight w:val="0"/>
      <w:marTop w:val="0"/>
      <w:marBottom w:val="0"/>
      <w:divBdr>
        <w:top w:val="none" w:sz="0" w:space="0" w:color="auto"/>
        <w:left w:val="none" w:sz="0" w:space="0" w:color="auto"/>
        <w:bottom w:val="none" w:sz="0" w:space="0" w:color="auto"/>
        <w:right w:val="none" w:sz="0" w:space="0" w:color="auto"/>
      </w:divBdr>
    </w:div>
    <w:div w:id="958534300">
      <w:bodyDiv w:val="1"/>
      <w:marLeft w:val="0"/>
      <w:marRight w:val="0"/>
      <w:marTop w:val="0"/>
      <w:marBottom w:val="0"/>
      <w:divBdr>
        <w:top w:val="none" w:sz="0" w:space="0" w:color="auto"/>
        <w:left w:val="none" w:sz="0" w:space="0" w:color="auto"/>
        <w:bottom w:val="none" w:sz="0" w:space="0" w:color="auto"/>
        <w:right w:val="none" w:sz="0" w:space="0" w:color="auto"/>
      </w:divBdr>
    </w:div>
    <w:div w:id="1185096369">
      <w:bodyDiv w:val="1"/>
      <w:marLeft w:val="0"/>
      <w:marRight w:val="0"/>
      <w:marTop w:val="0"/>
      <w:marBottom w:val="0"/>
      <w:divBdr>
        <w:top w:val="none" w:sz="0" w:space="0" w:color="auto"/>
        <w:left w:val="none" w:sz="0" w:space="0" w:color="auto"/>
        <w:bottom w:val="none" w:sz="0" w:space="0" w:color="auto"/>
        <w:right w:val="none" w:sz="0" w:space="0" w:color="auto"/>
      </w:divBdr>
    </w:div>
    <w:div w:id="1287614541">
      <w:bodyDiv w:val="1"/>
      <w:marLeft w:val="0"/>
      <w:marRight w:val="0"/>
      <w:marTop w:val="0"/>
      <w:marBottom w:val="0"/>
      <w:divBdr>
        <w:top w:val="none" w:sz="0" w:space="0" w:color="auto"/>
        <w:left w:val="none" w:sz="0" w:space="0" w:color="auto"/>
        <w:bottom w:val="none" w:sz="0" w:space="0" w:color="auto"/>
        <w:right w:val="none" w:sz="0" w:space="0" w:color="auto"/>
      </w:divBdr>
    </w:div>
    <w:div w:id="1346206790">
      <w:bodyDiv w:val="1"/>
      <w:marLeft w:val="0"/>
      <w:marRight w:val="0"/>
      <w:marTop w:val="0"/>
      <w:marBottom w:val="0"/>
      <w:divBdr>
        <w:top w:val="none" w:sz="0" w:space="0" w:color="auto"/>
        <w:left w:val="none" w:sz="0" w:space="0" w:color="auto"/>
        <w:bottom w:val="none" w:sz="0" w:space="0" w:color="auto"/>
        <w:right w:val="none" w:sz="0" w:space="0" w:color="auto"/>
      </w:divBdr>
    </w:div>
    <w:div w:id="1551306018">
      <w:bodyDiv w:val="1"/>
      <w:marLeft w:val="0"/>
      <w:marRight w:val="0"/>
      <w:marTop w:val="0"/>
      <w:marBottom w:val="0"/>
      <w:divBdr>
        <w:top w:val="none" w:sz="0" w:space="0" w:color="auto"/>
        <w:left w:val="none" w:sz="0" w:space="0" w:color="auto"/>
        <w:bottom w:val="none" w:sz="0" w:space="0" w:color="auto"/>
        <w:right w:val="none" w:sz="0" w:space="0" w:color="auto"/>
      </w:divBdr>
    </w:div>
    <w:div w:id="1906186106">
      <w:bodyDiv w:val="1"/>
      <w:marLeft w:val="0"/>
      <w:marRight w:val="0"/>
      <w:marTop w:val="0"/>
      <w:marBottom w:val="0"/>
      <w:divBdr>
        <w:top w:val="none" w:sz="0" w:space="0" w:color="auto"/>
        <w:left w:val="none" w:sz="0" w:space="0" w:color="auto"/>
        <w:bottom w:val="none" w:sz="0" w:space="0" w:color="auto"/>
        <w:right w:val="none" w:sz="0" w:space="0" w:color="auto"/>
      </w:divBdr>
      <w:divsChild>
        <w:div w:id="2141796751">
          <w:marLeft w:val="144"/>
          <w:marRight w:val="0"/>
          <w:marTop w:val="240"/>
          <w:marBottom w:val="40"/>
          <w:divBdr>
            <w:top w:val="none" w:sz="0" w:space="0" w:color="auto"/>
            <w:left w:val="none" w:sz="0" w:space="0" w:color="auto"/>
            <w:bottom w:val="none" w:sz="0" w:space="0" w:color="auto"/>
            <w:right w:val="none" w:sz="0" w:space="0" w:color="auto"/>
          </w:divBdr>
        </w:div>
        <w:div w:id="1865364184">
          <w:marLeft w:val="144"/>
          <w:marRight w:val="0"/>
          <w:marTop w:val="240"/>
          <w:marBottom w:val="40"/>
          <w:divBdr>
            <w:top w:val="none" w:sz="0" w:space="0" w:color="auto"/>
            <w:left w:val="none" w:sz="0" w:space="0" w:color="auto"/>
            <w:bottom w:val="none" w:sz="0" w:space="0" w:color="auto"/>
            <w:right w:val="none" w:sz="0" w:space="0" w:color="auto"/>
          </w:divBdr>
        </w:div>
        <w:div w:id="406807103">
          <w:marLeft w:val="144"/>
          <w:marRight w:val="0"/>
          <w:marTop w:val="240"/>
          <w:marBottom w:val="40"/>
          <w:divBdr>
            <w:top w:val="none" w:sz="0" w:space="0" w:color="auto"/>
            <w:left w:val="none" w:sz="0" w:space="0" w:color="auto"/>
            <w:bottom w:val="none" w:sz="0" w:space="0" w:color="auto"/>
            <w:right w:val="none" w:sz="0" w:space="0" w:color="auto"/>
          </w:divBdr>
        </w:div>
        <w:div w:id="2030180706">
          <w:marLeft w:val="144"/>
          <w:marRight w:val="0"/>
          <w:marTop w:val="240"/>
          <w:marBottom w:val="40"/>
          <w:divBdr>
            <w:top w:val="none" w:sz="0" w:space="0" w:color="auto"/>
            <w:left w:val="none" w:sz="0" w:space="0" w:color="auto"/>
            <w:bottom w:val="none" w:sz="0" w:space="0" w:color="auto"/>
            <w:right w:val="none" w:sz="0" w:space="0" w:color="auto"/>
          </w:divBdr>
        </w:div>
        <w:div w:id="1977489278">
          <w:marLeft w:val="144"/>
          <w:marRight w:val="0"/>
          <w:marTop w:val="240"/>
          <w:marBottom w:val="40"/>
          <w:divBdr>
            <w:top w:val="none" w:sz="0" w:space="0" w:color="auto"/>
            <w:left w:val="none" w:sz="0" w:space="0" w:color="auto"/>
            <w:bottom w:val="none" w:sz="0" w:space="0" w:color="auto"/>
            <w:right w:val="none" w:sz="0" w:space="0" w:color="auto"/>
          </w:divBdr>
        </w:div>
        <w:div w:id="1229416325">
          <w:marLeft w:val="144"/>
          <w:marRight w:val="0"/>
          <w:marTop w:val="240"/>
          <w:marBottom w:val="40"/>
          <w:divBdr>
            <w:top w:val="none" w:sz="0" w:space="0" w:color="auto"/>
            <w:left w:val="none" w:sz="0" w:space="0" w:color="auto"/>
            <w:bottom w:val="none" w:sz="0" w:space="0" w:color="auto"/>
            <w:right w:val="none" w:sz="0" w:space="0" w:color="auto"/>
          </w:divBdr>
        </w:div>
      </w:divsChild>
    </w:div>
    <w:div w:id="2066561440">
      <w:bodyDiv w:val="1"/>
      <w:marLeft w:val="0"/>
      <w:marRight w:val="0"/>
      <w:marTop w:val="0"/>
      <w:marBottom w:val="0"/>
      <w:divBdr>
        <w:top w:val="none" w:sz="0" w:space="0" w:color="auto"/>
        <w:left w:val="none" w:sz="0" w:space="0" w:color="auto"/>
        <w:bottom w:val="none" w:sz="0" w:space="0" w:color="auto"/>
        <w:right w:val="none" w:sz="0" w:space="0" w:color="auto"/>
      </w:divBdr>
    </w:div>
    <w:div w:id="21276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proxy.library.stonybrook.edu/topics/medicine-and-dentistry/antiinflammatory-activity" TargetMode="External"/><Relationship Id="rId5" Type="http://schemas.openxmlformats.org/officeDocument/2006/relationships/hyperlink" Target="https://www-sciencedirect-com.proxy.library.stonybrook.edu/topics/medicine-and-dentistry/tnf-inhibi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Krebushevski</dc:creator>
  <cp:keywords/>
  <dc:description/>
  <cp:lastModifiedBy>Boykan, Rachel</cp:lastModifiedBy>
  <cp:revision>2</cp:revision>
  <cp:lastPrinted>2022-02-16T07:02:00Z</cp:lastPrinted>
  <dcterms:created xsi:type="dcterms:W3CDTF">2022-02-22T19:54:00Z</dcterms:created>
  <dcterms:modified xsi:type="dcterms:W3CDTF">2022-02-22T19:54:00Z</dcterms:modified>
</cp:coreProperties>
</file>