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4AAC" w14:textId="77777777" w:rsidR="00FE4A2B" w:rsidRDefault="00FE4A2B" w:rsidP="00FE4A2B">
      <w:pPr>
        <w:widowControl w:val="0"/>
        <w:autoSpaceDE w:val="0"/>
        <w:autoSpaceDN w:val="0"/>
        <w:adjustRightInd w:val="0"/>
        <w:jc w:val="center"/>
        <w:rPr>
          <w:rFonts w:ascii="Times New Roman" w:hAnsi="Times New Roman" w:cs="Times New Roman"/>
          <w:b/>
          <w:bCs/>
          <w:color w:val="000000"/>
          <w:sz w:val="22"/>
          <w:szCs w:val="22"/>
          <w:u w:val="single"/>
          <w:lang w:eastAsia="x-none"/>
        </w:rPr>
      </w:pPr>
      <w:r>
        <w:rPr>
          <w:rFonts w:ascii="Times New Roman" w:hAnsi="Times New Roman" w:cs="Times New Roman"/>
          <w:b/>
          <w:bCs/>
          <w:color w:val="000000"/>
          <w:sz w:val="22"/>
          <w:szCs w:val="22"/>
          <w:u w:val="single"/>
          <w:lang w:eastAsia="x-none"/>
        </w:rPr>
        <w:t>Kawasaki</w:t>
      </w:r>
    </w:p>
    <w:p w14:paraId="62D3B31A"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eastAsia="Times New Roman" w:hAnsi="Arial" w:cs="Arial"/>
          <w:b/>
          <w:bCs/>
          <w:sz w:val="22"/>
          <w:szCs w:val="22"/>
          <w:u w:val="single"/>
          <w:lang w:val="x-none" w:eastAsia="x-none"/>
        </w:rPr>
      </w:pPr>
      <w:r w:rsidRPr="00DF24A5">
        <w:rPr>
          <w:rFonts w:ascii="Arial" w:hAnsi="Arial" w:cs="Arial"/>
          <w:b/>
          <w:bCs/>
          <w:sz w:val="22"/>
          <w:szCs w:val="22"/>
          <w:u w:val="single"/>
          <w:lang w:val="x-none" w:eastAsia="x-none"/>
        </w:rPr>
        <w:t>Kawasaki disease (KD) Guidelines for patient management at Stony Brook Children</w:t>
      </w:r>
      <w:r w:rsidRPr="00DF24A5">
        <w:rPr>
          <w:rFonts w:ascii="Arial" w:eastAsia="Times New Roman" w:hAnsi="Arial" w:cs="Arial"/>
          <w:b/>
          <w:bCs/>
          <w:sz w:val="22"/>
          <w:szCs w:val="22"/>
          <w:u w:val="single"/>
          <w:lang w:val="x-none" w:eastAsia="x-none"/>
        </w:rPr>
        <w:t>’s Hospital</w:t>
      </w:r>
    </w:p>
    <w:p w14:paraId="6E8AC7C8"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The following guideline which includes a treatment algorithm was developed based on literature review and the clinical expertise of the faculty of the Divisions of Pediatric Cardiology, Pediatric Infectious Diseases and Pediatric Rheumatology here at Stony Brook. It is a guideline and individual patient factors should be considered as appropriate.</w:t>
      </w:r>
    </w:p>
    <w:p w14:paraId="5D1F2D9A"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 xml:space="preserve">The algorithm categorizes patients into low risk and high risk. We have identified the following risk factors that would place someone in the high risk category if at least 2 are met. </w:t>
      </w:r>
    </w:p>
    <w:p w14:paraId="10256728"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u w:val="single"/>
          <w:lang w:val="x-none" w:eastAsia="x-none"/>
        </w:rPr>
        <w:t>Risk Factors</w:t>
      </w:r>
      <w:r w:rsidRPr="00DF24A5">
        <w:rPr>
          <w:rFonts w:ascii="Arial" w:hAnsi="Arial" w:cs="Arial"/>
          <w:sz w:val="22"/>
          <w:szCs w:val="22"/>
          <w:lang w:val="x-none" w:eastAsia="x-none"/>
        </w:rPr>
        <w:t>:</w:t>
      </w:r>
    </w:p>
    <w:p w14:paraId="05F326D4"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ind w:firstLine="720"/>
        <w:rPr>
          <w:rFonts w:ascii="Arial" w:hAnsi="Arial" w:cs="Arial"/>
          <w:sz w:val="22"/>
          <w:szCs w:val="22"/>
          <w:lang w:val="x-none" w:eastAsia="x-none"/>
        </w:rPr>
      </w:pPr>
      <w:r w:rsidRPr="00DF24A5">
        <w:rPr>
          <w:rFonts w:ascii="Arial" w:hAnsi="Arial" w:cs="Arial"/>
          <w:sz w:val="22"/>
          <w:szCs w:val="22"/>
          <w:lang w:val="x-none" w:eastAsia="x-none"/>
        </w:rPr>
        <w:t>Male</w:t>
      </w:r>
    </w:p>
    <w:p w14:paraId="5C253675"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ind w:firstLine="720"/>
        <w:rPr>
          <w:rFonts w:ascii="Arial" w:hAnsi="Arial" w:cs="Arial"/>
          <w:sz w:val="22"/>
          <w:szCs w:val="22"/>
          <w:lang w:val="x-none" w:eastAsia="x-none"/>
        </w:rPr>
      </w:pPr>
      <w:r w:rsidRPr="00DF24A5">
        <w:rPr>
          <w:rFonts w:ascii="Arial" w:hAnsi="Arial" w:cs="Arial"/>
          <w:sz w:val="22"/>
          <w:szCs w:val="22"/>
          <w:lang w:val="x-none" w:eastAsia="x-none"/>
        </w:rPr>
        <w:t>&lt; 1 year of age</w:t>
      </w:r>
    </w:p>
    <w:p w14:paraId="1AA6FD20"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ind w:firstLine="720"/>
        <w:rPr>
          <w:rFonts w:ascii="Arial" w:hAnsi="Arial" w:cs="Arial"/>
          <w:sz w:val="22"/>
          <w:szCs w:val="22"/>
          <w:lang w:val="x-none" w:eastAsia="x-none"/>
        </w:rPr>
      </w:pPr>
      <w:r w:rsidRPr="00DF24A5">
        <w:rPr>
          <w:rFonts w:ascii="Arial" w:hAnsi="Arial" w:cs="Arial"/>
          <w:sz w:val="22"/>
          <w:szCs w:val="22"/>
          <w:lang w:val="x-none" w:eastAsia="x-none"/>
        </w:rPr>
        <w:t>Hispanic ethnicity</w:t>
      </w:r>
    </w:p>
    <w:p w14:paraId="13496734"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ind w:firstLine="720"/>
        <w:rPr>
          <w:rFonts w:ascii="Arial" w:hAnsi="Arial" w:cs="Arial"/>
          <w:sz w:val="22"/>
          <w:szCs w:val="22"/>
          <w:lang w:val="x-none" w:eastAsia="x-none"/>
        </w:rPr>
      </w:pPr>
      <w:r w:rsidRPr="00DF24A5">
        <w:rPr>
          <w:rFonts w:ascii="Arial" w:hAnsi="Arial" w:cs="Arial"/>
          <w:sz w:val="22"/>
          <w:szCs w:val="22"/>
          <w:lang w:val="x-none" w:eastAsia="x-none"/>
        </w:rPr>
        <w:t>CRP &gt;100 mg/dL</w:t>
      </w:r>
    </w:p>
    <w:p w14:paraId="020900AC"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ind w:firstLine="720"/>
        <w:rPr>
          <w:rFonts w:ascii="Arial" w:hAnsi="Arial" w:cs="Arial"/>
          <w:sz w:val="22"/>
          <w:szCs w:val="22"/>
          <w:lang w:val="x-none" w:eastAsia="x-none"/>
        </w:rPr>
      </w:pPr>
      <w:r w:rsidRPr="00DF24A5">
        <w:rPr>
          <w:rFonts w:ascii="Arial" w:hAnsi="Arial" w:cs="Arial"/>
          <w:sz w:val="22"/>
          <w:szCs w:val="22"/>
          <w:lang w:val="x-none" w:eastAsia="x-none"/>
        </w:rPr>
        <w:t>Platelet counts &lt;100,000/microliter of blood</w:t>
      </w:r>
    </w:p>
    <w:p w14:paraId="2E6B849A"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lang w:val="x-none" w:eastAsia="x-none"/>
        </w:rPr>
      </w:pPr>
    </w:p>
    <w:p w14:paraId="6DCAD1AD"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The following subspecialists should be consulted as follows:</w:t>
      </w:r>
    </w:p>
    <w:p w14:paraId="18DAC081"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lang w:val="x-none" w:eastAsia="x-none"/>
        </w:rPr>
      </w:pPr>
      <w:r w:rsidRPr="00DF24A5">
        <w:rPr>
          <w:rFonts w:ascii="Arial" w:hAnsi="Arial" w:cs="Arial"/>
          <w:sz w:val="22"/>
          <w:szCs w:val="22"/>
          <w:u w:val="single"/>
          <w:lang w:val="x-none" w:eastAsia="x-none"/>
        </w:rPr>
        <w:t>Consults</w:t>
      </w:r>
      <w:r w:rsidRPr="00DF24A5">
        <w:rPr>
          <w:rFonts w:ascii="Arial" w:hAnsi="Arial" w:cs="Arial"/>
          <w:sz w:val="22"/>
          <w:szCs w:val="22"/>
          <w:lang w:val="x-none" w:eastAsia="x-none"/>
        </w:rPr>
        <w:t>:</w:t>
      </w:r>
    </w:p>
    <w:p w14:paraId="1B17C2A6"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b/>
          <w:bCs/>
          <w:sz w:val="22"/>
          <w:szCs w:val="22"/>
          <w:lang w:val="x-none" w:eastAsia="x-none"/>
        </w:rPr>
        <w:t>Pediatric Cardiology consult</w:t>
      </w:r>
      <w:r w:rsidRPr="00DF24A5">
        <w:rPr>
          <w:rFonts w:ascii="Arial" w:hAnsi="Arial" w:cs="Arial"/>
          <w:sz w:val="22"/>
          <w:szCs w:val="22"/>
          <w:lang w:val="x-none" w:eastAsia="x-none"/>
        </w:rPr>
        <w:t xml:space="preserve">: failed first IVIG, treatment of incomplete case or high risk/complex course </w:t>
      </w:r>
    </w:p>
    <w:p w14:paraId="79930D1A"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lang w:val="x-none" w:eastAsia="x-none"/>
        </w:rPr>
      </w:pPr>
      <w:r w:rsidRPr="00DF24A5">
        <w:rPr>
          <w:rFonts w:ascii="Arial" w:hAnsi="Arial" w:cs="Arial"/>
          <w:sz w:val="22"/>
          <w:szCs w:val="22"/>
          <w:lang w:val="x-none" w:eastAsia="x-none"/>
        </w:rPr>
        <w:tab/>
      </w:r>
      <w:r w:rsidRPr="00DF24A5">
        <w:rPr>
          <w:rFonts w:ascii="Arial" w:hAnsi="Arial" w:cs="Arial"/>
          <w:i/>
          <w:iCs/>
          <w:sz w:val="22"/>
          <w:szCs w:val="22"/>
          <w:lang w:val="x-none" w:eastAsia="x-none"/>
        </w:rPr>
        <w:t>Standard ECHO schedule</w:t>
      </w:r>
      <w:r w:rsidRPr="00DF24A5">
        <w:rPr>
          <w:rFonts w:ascii="Arial" w:hAnsi="Arial" w:cs="Arial"/>
          <w:sz w:val="22"/>
          <w:szCs w:val="22"/>
          <w:lang w:val="x-none" w:eastAsia="x-none"/>
        </w:rPr>
        <w:t>: ECHO at diagnosis and 2 weeks later (Baseline ECHOs can be done without a full consult for low risk patients)</w:t>
      </w:r>
    </w:p>
    <w:p w14:paraId="196AA47F"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ind w:firstLine="720"/>
        <w:rPr>
          <w:rFonts w:ascii="Arial" w:hAnsi="Arial" w:cs="Arial"/>
          <w:sz w:val="22"/>
          <w:szCs w:val="22"/>
          <w:lang w:val="x-none" w:eastAsia="x-none"/>
        </w:rPr>
      </w:pPr>
      <w:r w:rsidRPr="00DF24A5">
        <w:rPr>
          <w:rFonts w:ascii="Arial" w:hAnsi="Arial" w:cs="Arial"/>
          <w:i/>
          <w:iCs/>
          <w:sz w:val="22"/>
          <w:szCs w:val="22"/>
          <w:lang w:val="x-none" w:eastAsia="x-none"/>
        </w:rPr>
        <w:t>Repeat ECHOs ordered</w:t>
      </w:r>
      <w:r w:rsidRPr="00DF24A5">
        <w:rPr>
          <w:rFonts w:ascii="Arial" w:hAnsi="Arial" w:cs="Arial"/>
          <w:sz w:val="22"/>
          <w:szCs w:val="22"/>
          <w:lang w:val="x-none" w:eastAsia="x-none"/>
        </w:rPr>
        <w:t>: failed response to first IVIG or increased clinical concern.</w:t>
      </w:r>
    </w:p>
    <w:p w14:paraId="2B354DF7"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lang w:val="x-none" w:eastAsia="x-none"/>
        </w:rPr>
      </w:pPr>
    </w:p>
    <w:p w14:paraId="36FCCE8E"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lang w:val="x-none" w:eastAsia="x-none"/>
        </w:rPr>
      </w:pPr>
      <w:r w:rsidRPr="00DF24A5">
        <w:rPr>
          <w:rFonts w:ascii="Arial" w:hAnsi="Arial" w:cs="Arial"/>
          <w:b/>
          <w:bCs/>
          <w:sz w:val="22"/>
          <w:szCs w:val="22"/>
          <w:lang w:val="x-none" w:eastAsia="x-none"/>
        </w:rPr>
        <w:t>Pediatric Infectious Diseases consult</w:t>
      </w:r>
      <w:r w:rsidRPr="00DF24A5">
        <w:rPr>
          <w:rFonts w:ascii="Arial" w:hAnsi="Arial" w:cs="Arial"/>
          <w:sz w:val="22"/>
          <w:szCs w:val="22"/>
          <w:lang w:val="x-none" w:eastAsia="x-none"/>
        </w:rPr>
        <w:t>: consider on all KD cases but especially on incomplete KD cases</w:t>
      </w:r>
    </w:p>
    <w:p w14:paraId="1B8CDE8D"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lang w:val="x-none" w:eastAsia="x-none"/>
        </w:rPr>
      </w:pPr>
    </w:p>
    <w:p w14:paraId="06428D36"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b/>
          <w:bCs/>
          <w:sz w:val="22"/>
          <w:szCs w:val="22"/>
          <w:lang w:val="x-none" w:eastAsia="x-none"/>
        </w:rPr>
        <w:t>Pediatric Rheumatology consult</w:t>
      </w:r>
      <w:r w:rsidRPr="00DF24A5">
        <w:rPr>
          <w:rFonts w:ascii="Arial" w:hAnsi="Arial" w:cs="Arial"/>
          <w:sz w:val="22"/>
          <w:szCs w:val="22"/>
          <w:lang w:val="x-none" w:eastAsia="x-none"/>
        </w:rPr>
        <w:t>: all atypical and high risk/complex cases including those that fail initial therapy; any case with infant &lt;6 months of age</w:t>
      </w:r>
    </w:p>
    <w:p w14:paraId="422FF6C2"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u w:val="single"/>
          <w:lang w:val="x-none" w:eastAsia="x-none"/>
        </w:rPr>
      </w:pPr>
      <w:r w:rsidRPr="00DF24A5">
        <w:rPr>
          <w:rFonts w:ascii="Arial" w:hAnsi="Arial" w:cs="Arial"/>
          <w:sz w:val="22"/>
          <w:szCs w:val="22"/>
          <w:u w:val="single"/>
          <w:lang w:val="x-none" w:eastAsia="x-none"/>
        </w:rPr>
        <w:t>Hospital Discharge Instructions</w:t>
      </w:r>
    </w:p>
    <w:p w14:paraId="451A3569"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lang w:val="x-none" w:eastAsia="x-none"/>
        </w:rPr>
      </w:pPr>
      <w:r w:rsidRPr="00DF24A5">
        <w:rPr>
          <w:rFonts w:ascii="Arial" w:hAnsi="Arial" w:cs="Arial"/>
          <w:sz w:val="22"/>
          <w:szCs w:val="22"/>
          <w:lang w:val="x-none" w:eastAsia="x-none"/>
        </w:rPr>
        <w:t>Discharge generally occurs 24 hours after IVIG infusion if the patient remains afebrile over that time.</w:t>
      </w:r>
    </w:p>
    <w:p w14:paraId="197FDB2F"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lang w:val="x-none" w:eastAsia="x-none"/>
        </w:rPr>
      </w:pPr>
    </w:p>
    <w:p w14:paraId="59084BFA"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lang w:val="x-none" w:eastAsia="x-none"/>
        </w:rPr>
      </w:pPr>
      <w:r w:rsidRPr="00DF24A5">
        <w:rPr>
          <w:rFonts w:ascii="Arial" w:hAnsi="Arial" w:cs="Arial"/>
          <w:sz w:val="22"/>
          <w:szCs w:val="22"/>
          <w:lang w:val="x-none" w:eastAsia="x-none"/>
        </w:rPr>
        <w:t>High dose aspirin therapy (with IVIG 2grams/kg) to be used as part of initial therapy for anti-inflammatory effect, transition to low dose for anti-platelet effect once afebrile ≥ 48 hours after completing IVIG.</w:t>
      </w:r>
    </w:p>
    <w:p w14:paraId="2E578E9D"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uto"/>
        <w:rPr>
          <w:rFonts w:ascii="Arial" w:hAnsi="Arial" w:cs="Arial"/>
          <w:sz w:val="22"/>
          <w:szCs w:val="22"/>
          <w:lang w:val="x-none" w:eastAsia="x-none"/>
        </w:rPr>
      </w:pPr>
    </w:p>
    <w:p w14:paraId="7006D9E0"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firstLine="720"/>
        <w:rPr>
          <w:rFonts w:ascii="Arial" w:hAnsi="Arial" w:cs="Arial"/>
          <w:sz w:val="22"/>
          <w:szCs w:val="22"/>
          <w:lang w:val="x-none" w:eastAsia="x-none"/>
        </w:rPr>
      </w:pPr>
      <w:r w:rsidRPr="00DF24A5">
        <w:rPr>
          <w:rFonts w:ascii="Arial" w:hAnsi="Arial" w:cs="Arial"/>
          <w:sz w:val="22"/>
          <w:szCs w:val="22"/>
          <w:lang w:val="x-none" w:eastAsia="x-none"/>
        </w:rPr>
        <w:t xml:space="preserve">Aspirin therapy: </w:t>
      </w:r>
    </w:p>
    <w:p w14:paraId="51E15318"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ab/>
        <w:t xml:space="preserve">High dose: 80-100mg/kg/day divided every 6 hours </w:t>
      </w:r>
    </w:p>
    <w:p w14:paraId="4C3DAF23"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ab/>
        <w:t>Low dose: 3-5mg/kg/day once daily</w:t>
      </w:r>
    </w:p>
    <w:p w14:paraId="7574AF5F"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eastAsia="Times New Roman" w:hAnsi="Arial" w:cs="Arial"/>
          <w:sz w:val="22"/>
          <w:szCs w:val="22"/>
          <w:lang w:val="x-none" w:eastAsia="x-none"/>
        </w:rPr>
      </w:pPr>
      <w:r w:rsidRPr="00DF24A5">
        <w:rPr>
          <w:rFonts w:ascii="Arial" w:hAnsi="Arial" w:cs="Arial"/>
          <w:sz w:val="22"/>
          <w:szCs w:val="22"/>
          <w:lang w:val="x-none" w:eastAsia="x-none"/>
        </w:rPr>
        <w:t xml:space="preserve">Influenza vaccination as appropriate to the season (inactivated only </w:t>
      </w:r>
      <w:r w:rsidRPr="00DF24A5">
        <w:rPr>
          <w:rFonts w:ascii="Arial" w:eastAsia="Times New Roman" w:hAnsi="Arial" w:cs="Arial"/>
          <w:sz w:val="22"/>
          <w:szCs w:val="22"/>
          <w:lang w:val="x-none" w:eastAsia="x-none"/>
        </w:rPr>
        <w:t>– IIV) prior to discharge</w:t>
      </w:r>
    </w:p>
    <w:p w14:paraId="1878D1AA"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eastAsia="Times New Roman" w:hAnsi="Arial" w:cs="Arial"/>
          <w:sz w:val="22"/>
          <w:szCs w:val="22"/>
          <w:lang w:val="x-none" w:eastAsia="x-none"/>
        </w:rPr>
      </w:pPr>
      <w:r w:rsidRPr="00DF24A5">
        <w:rPr>
          <w:rFonts w:ascii="Arial" w:eastAsia="Times New Roman" w:hAnsi="Arial" w:cs="Arial"/>
          <w:sz w:val="22"/>
          <w:szCs w:val="22"/>
          <w:lang w:val="x-none" w:eastAsia="x-none"/>
        </w:rPr>
        <w:lastRenderedPageBreak/>
        <w:t>Instruct family and primary care doctor that live vaccinations (MMR, varicella) have to be delayed 11 months after IVIG due to interference with immune response to immunization with live vaccines</w:t>
      </w:r>
    </w:p>
    <w:p w14:paraId="6E102DDD"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eastAsia="Times New Roman" w:hAnsi="Arial" w:cs="Arial"/>
          <w:sz w:val="22"/>
          <w:szCs w:val="22"/>
          <w:lang w:val="x-none" w:eastAsia="x-none"/>
        </w:rPr>
      </w:pPr>
      <w:r w:rsidRPr="00DF24A5">
        <w:rPr>
          <w:rFonts w:ascii="Arial" w:eastAsia="Times New Roman" w:hAnsi="Arial" w:cs="Arial"/>
          <w:sz w:val="22"/>
          <w:szCs w:val="22"/>
          <w:lang w:val="x-none" w:eastAsia="x-none"/>
        </w:rPr>
        <w:t>Follow-up labs (CBC, CMP, ESR, CRP): to be done in conjunction with pediatric Infectious Diseases hospital follow-up visit</w:t>
      </w:r>
    </w:p>
    <w:p w14:paraId="7DBC5F95"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eastAsia="Times New Roman" w:hAnsi="Arial" w:cs="Arial"/>
          <w:sz w:val="22"/>
          <w:szCs w:val="22"/>
          <w:lang w:val="x-none" w:eastAsia="x-none"/>
        </w:rPr>
      </w:pPr>
      <w:r w:rsidRPr="00DF24A5">
        <w:rPr>
          <w:rFonts w:ascii="Arial" w:eastAsia="Times New Roman" w:hAnsi="Arial" w:cs="Arial"/>
          <w:sz w:val="22"/>
          <w:szCs w:val="22"/>
          <w:lang w:val="x-none" w:eastAsia="x-none"/>
        </w:rPr>
        <w:t>Follow-up with Pediatric Infectious Diseases 3-5 days after discharge</w:t>
      </w:r>
    </w:p>
    <w:p w14:paraId="3EABD156"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eastAsia="Times New Roman" w:hAnsi="Arial" w:cs="Arial"/>
          <w:sz w:val="22"/>
          <w:szCs w:val="22"/>
          <w:lang w:val="x-none" w:eastAsia="x-none"/>
        </w:rPr>
      </w:pPr>
      <w:r w:rsidRPr="00DF24A5">
        <w:rPr>
          <w:rFonts w:ascii="Arial" w:eastAsia="Times New Roman" w:hAnsi="Arial" w:cs="Arial"/>
          <w:sz w:val="22"/>
          <w:szCs w:val="22"/>
          <w:lang w:val="x-none" w:eastAsia="x-none"/>
        </w:rPr>
        <w:t xml:space="preserve">Follow-up with Pediatric Cardiology 2 weeks from start of illness </w:t>
      </w:r>
    </w:p>
    <w:p w14:paraId="608AB3F8"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eastAsia="Times New Roman" w:hAnsi="Arial" w:cs="Arial"/>
          <w:sz w:val="22"/>
          <w:szCs w:val="22"/>
          <w:lang w:val="x-none" w:eastAsia="x-none"/>
        </w:rPr>
      </w:pPr>
      <w:r w:rsidRPr="00DF24A5">
        <w:rPr>
          <w:rFonts w:ascii="Arial" w:eastAsia="Times New Roman" w:hAnsi="Arial" w:cs="Arial"/>
          <w:sz w:val="22"/>
          <w:szCs w:val="22"/>
          <w:lang w:val="x-none" w:eastAsia="x-none"/>
        </w:rPr>
        <w:t xml:space="preserve">Follow-up with Rheumatology 1-2 weeks after hospitalization </w:t>
      </w:r>
    </w:p>
    <w:p w14:paraId="4427283B"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eastAsia="Times New Roman" w:hAnsi="Arial" w:cs="Arial"/>
          <w:sz w:val="22"/>
          <w:szCs w:val="22"/>
          <w:lang w:val="x-none" w:eastAsia="x-none"/>
        </w:rPr>
      </w:pPr>
    </w:p>
    <w:p w14:paraId="2D3F31EE"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eastAsia="Times New Roman" w:hAnsi="Arial" w:cs="Arial"/>
          <w:sz w:val="22"/>
          <w:szCs w:val="22"/>
          <w:lang w:val="x-none" w:eastAsia="x-none"/>
        </w:rPr>
      </w:pPr>
    </w:p>
    <w:p w14:paraId="6C6B50C6"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b/>
          <w:bCs/>
          <w:sz w:val="22"/>
          <w:szCs w:val="22"/>
          <w:lang w:val="x-none" w:eastAsia="x-none"/>
        </w:rPr>
        <w:t>KAWASAKI DISEASE TREATMENT ALGORITHM</w:t>
      </w:r>
      <w:r w:rsidRPr="00DF24A5">
        <w:rPr>
          <w:rFonts w:ascii="Arial" w:hAnsi="Arial" w:cs="Arial"/>
          <w:sz w:val="22"/>
          <w:szCs w:val="22"/>
          <w:lang w:val="x-none" w:eastAsia="x-none"/>
        </w:rPr>
        <w:t>:</w:t>
      </w:r>
    </w:p>
    <w:p w14:paraId="6C06A98C"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noProof/>
          <w:sz w:val="22"/>
          <w:szCs w:val="22"/>
          <w:lang w:val="x-none" w:eastAsia="x-none"/>
        </w:rPr>
        <w:drawing>
          <wp:inline distT="0" distB="0" distL="0" distR="0" wp14:anchorId="60B6C910" wp14:editId="5F4C50CA">
            <wp:extent cx="5943600" cy="3602990"/>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02990"/>
                    </a:xfrm>
                    <a:prstGeom prst="rect">
                      <a:avLst/>
                    </a:prstGeom>
                    <a:noFill/>
                    <a:ln>
                      <a:noFill/>
                    </a:ln>
                  </pic:spPr>
                </pic:pic>
              </a:graphicData>
            </a:graphic>
          </wp:inline>
        </w:drawing>
      </w:r>
    </w:p>
    <w:p w14:paraId="56A3562C"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u w:val="single"/>
          <w:lang w:val="x-none" w:eastAsia="x-none"/>
        </w:rPr>
      </w:pPr>
      <w:r w:rsidRPr="00DF24A5">
        <w:rPr>
          <w:rFonts w:ascii="Arial" w:hAnsi="Arial" w:cs="Arial"/>
          <w:sz w:val="22"/>
          <w:szCs w:val="22"/>
          <w:u w:val="single"/>
          <w:lang w:val="x-none" w:eastAsia="x-none"/>
        </w:rPr>
        <w:t>References</w:t>
      </w:r>
    </w:p>
    <w:p w14:paraId="532DA8A1"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proofErr w:type="spellStart"/>
      <w:r w:rsidRPr="00DF24A5">
        <w:rPr>
          <w:rFonts w:ascii="Arial" w:hAnsi="Arial" w:cs="Arial"/>
          <w:sz w:val="22"/>
          <w:szCs w:val="22"/>
          <w:lang w:val="x-none" w:eastAsia="x-none"/>
        </w:rPr>
        <w:t>Newburger</w:t>
      </w:r>
      <w:proofErr w:type="spellEnd"/>
      <w:r w:rsidRPr="00DF24A5">
        <w:rPr>
          <w:rFonts w:ascii="Arial" w:hAnsi="Arial" w:cs="Arial"/>
          <w:sz w:val="22"/>
          <w:szCs w:val="22"/>
          <w:lang w:val="x-none" w:eastAsia="x-none"/>
        </w:rPr>
        <w:t xml:space="preserve"> JW, Takahashi M, Gerber MA et al. Diagnosis, Treatment, and Long-Term Management of Kawasaki Disease: A Statement for Health Professionals From the Committee on Rheumatic Fever, Endocarditis and Kawasaki Disease, Council on Cardiovascular Disease in the Young, American Heart Association. Circulation. 2004;110:2747-2771</w:t>
      </w:r>
    </w:p>
    <w:p w14:paraId="19AB0FBE"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Kobayashi T, Inoue Y, Takeuchi K et al. Prediction of immunoglobulin unresponsiveness in patients with Kawasaki disease. Circulation. 2006;113:2606-2612</w:t>
      </w:r>
    </w:p>
    <w:p w14:paraId="5287AB0A"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lastRenderedPageBreak/>
        <w:t xml:space="preserve">Kobayashi T, </w:t>
      </w:r>
      <w:proofErr w:type="spellStart"/>
      <w:r w:rsidRPr="00DF24A5">
        <w:rPr>
          <w:rFonts w:ascii="Arial" w:hAnsi="Arial" w:cs="Arial"/>
          <w:sz w:val="22"/>
          <w:szCs w:val="22"/>
          <w:lang w:val="x-none" w:eastAsia="x-none"/>
        </w:rPr>
        <w:t>Saji</w:t>
      </w:r>
      <w:proofErr w:type="spellEnd"/>
      <w:r w:rsidRPr="00DF24A5">
        <w:rPr>
          <w:rFonts w:ascii="Arial" w:hAnsi="Arial" w:cs="Arial"/>
          <w:sz w:val="22"/>
          <w:szCs w:val="22"/>
          <w:lang w:val="x-none" w:eastAsia="x-none"/>
        </w:rPr>
        <w:t xml:space="preserve"> T, Otani T et al. Efficacy of immunoglobulin plus prednisolone for prevention of coronary artery abnormalities in sever Kawasaki disease (RAISE study): a randomized, open-label blinded-endpoints trial. The Lancet. 2012;379:1613-1620</w:t>
      </w:r>
    </w:p>
    <w:p w14:paraId="39B96F42"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 xml:space="preserve">Son MBF, </w:t>
      </w:r>
      <w:proofErr w:type="spellStart"/>
      <w:r w:rsidRPr="00DF24A5">
        <w:rPr>
          <w:rFonts w:ascii="Arial" w:hAnsi="Arial" w:cs="Arial"/>
          <w:sz w:val="22"/>
          <w:szCs w:val="22"/>
          <w:lang w:val="x-none" w:eastAsia="x-none"/>
        </w:rPr>
        <w:t>Newburger</w:t>
      </w:r>
      <w:proofErr w:type="spellEnd"/>
      <w:r w:rsidRPr="00DF24A5">
        <w:rPr>
          <w:rFonts w:ascii="Arial" w:hAnsi="Arial" w:cs="Arial"/>
          <w:sz w:val="22"/>
          <w:szCs w:val="22"/>
          <w:lang w:val="x-none" w:eastAsia="x-none"/>
        </w:rPr>
        <w:t xml:space="preserve"> JW. Management of Kawasaki disease: corticosteroids revisited. The Lancet. 2012;379:1571-1572</w:t>
      </w:r>
    </w:p>
    <w:p w14:paraId="19EDFB8A"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 xml:space="preserve">Sleeper LA, </w:t>
      </w:r>
      <w:proofErr w:type="spellStart"/>
      <w:r w:rsidRPr="00DF24A5">
        <w:rPr>
          <w:rFonts w:ascii="Arial" w:hAnsi="Arial" w:cs="Arial"/>
          <w:sz w:val="22"/>
          <w:szCs w:val="22"/>
          <w:lang w:val="x-none" w:eastAsia="x-none"/>
        </w:rPr>
        <w:t>Minich</w:t>
      </w:r>
      <w:proofErr w:type="spellEnd"/>
      <w:r w:rsidRPr="00DF24A5">
        <w:rPr>
          <w:rFonts w:ascii="Arial" w:hAnsi="Arial" w:cs="Arial"/>
          <w:sz w:val="22"/>
          <w:szCs w:val="22"/>
          <w:lang w:val="x-none" w:eastAsia="x-none"/>
        </w:rPr>
        <w:t xml:space="preserve"> LL, </w:t>
      </w:r>
      <w:proofErr w:type="spellStart"/>
      <w:r w:rsidRPr="00DF24A5">
        <w:rPr>
          <w:rFonts w:ascii="Arial" w:hAnsi="Arial" w:cs="Arial"/>
          <w:sz w:val="22"/>
          <w:szCs w:val="22"/>
          <w:lang w:val="x-none" w:eastAsia="x-none"/>
        </w:rPr>
        <w:t>McCrindle</w:t>
      </w:r>
      <w:proofErr w:type="spellEnd"/>
      <w:r w:rsidRPr="00DF24A5">
        <w:rPr>
          <w:rFonts w:ascii="Arial" w:hAnsi="Arial" w:cs="Arial"/>
          <w:sz w:val="22"/>
          <w:szCs w:val="22"/>
          <w:lang w:val="x-none" w:eastAsia="x-none"/>
        </w:rPr>
        <w:t xml:space="preserve"> BM et al. Evaluation of Kawasaki disease risk-scoring systems for intravenous immunoglobulin resistance. J of </w:t>
      </w:r>
      <w:proofErr w:type="spellStart"/>
      <w:r w:rsidRPr="00DF24A5">
        <w:rPr>
          <w:rFonts w:ascii="Arial" w:hAnsi="Arial" w:cs="Arial"/>
          <w:sz w:val="22"/>
          <w:szCs w:val="22"/>
          <w:lang w:val="x-none" w:eastAsia="x-none"/>
        </w:rPr>
        <w:t>Pediatr</w:t>
      </w:r>
      <w:proofErr w:type="spellEnd"/>
      <w:r w:rsidRPr="00DF24A5">
        <w:rPr>
          <w:rFonts w:ascii="Arial" w:hAnsi="Arial" w:cs="Arial"/>
          <w:sz w:val="22"/>
          <w:szCs w:val="22"/>
          <w:lang w:val="x-none" w:eastAsia="x-none"/>
        </w:rPr>
        <w:t>. 2011;158:831-835</w:t>
      </w:r>
    </w:p>
    <w:p w14:paraId="59D79853"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Chen S, Dong Y, Yin Y. Intravenous immunoglobulin plus corticosteroid to prevent coronary artery abnormalities in Kawasaki disease: a meta-analysis. Heart. 2012;99:76-82</w:t>
      </w:r>
    </w:p>
    <w:p w14:paraId="3EFB9506"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 xml:space="preserve">Son MB, Gauvreau K, Burns J et al. Infliximab for intravenous immunoglobulin resistance in Kawasaki disease: a retrospective study. J of </w:t>
      </w:r>
      <w:proofErr w:type="spellStart"/>
      <w:r w:rsidRPr="00DF24A5">
        <w:rPr>
          <w:rFonts w:ascii="Arial" w:hAnsi="Arial" w:cs="Arial"/>
          <w:sz w:val="22"/>
          <w:szCs w:val="22"/>
          <w:lang w:val="x-none" w:eastAsia="x-none"/>
        </w:rPr>
        <w:t>Pediatr</w:t>
      </w:r>
      <w:proofErr w:type="spellEnd"/>
      <w:r w:rsidRPr="00DF24A5">
        <w:rPr>
          <w:rFonts w:ascii="Arial" w:hAnsi="Arial" w:cs="Arial"/>
          <w:sz w:val="22"/>
          <w:szCs w:val="22"/>
          <w:lang w:val="x-none" w:eastAsia="x-none"/>
        </w:rPr>
        <w:t>. 2011;158:644-649</w:t>
      </w:r>
    </w:p>
    <w:p w14:paraId="5490DE18"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 xml:space="preserve">Burns JC, Best BM, </w:t>
      </w:r>
      <w:proofErr w:type="spellStart"/>
      <w:r w:rsidRPr="00DF24A5">
        <w:rPr>
          <w:rFonts w:ascii="Arial" w:hAnsi="Arial" w:cs="Arial"/>
          <w:sz w:val="22"/>
          <w:szCs w:val="22"/>
          <w:lang w:val="x-none" w:eastAsia="x-none"/>
        </w:rPr>
        <w:t>Meijas</w:t>
      </w:r>
      <w:proofErr w:type="spellEnd"/>
      <w:r w:rsidRPr="00DF24A5">
        <w:rPr>
          <w:rFonts w:ascii="Arial" w:hAnsi="Arial" w:cs="Arial"/>
          <w:sz w:val="22"/>
          <w:szCs w:val="22"/>
          <w:lang w:val="x-none" w:eastAsia="x-none"/>
        </w:rPr>
        <w:t xml:space="preserve"> A et al. Infliximab treatment of intravenous immunoglobulin-resistant Kawasaki disease. J of </w:t>
      </w:r>
      <w:proofErr w:type="spellStart"/>
      <w:r w:rsidRPr="00DF24A5">
        <w:rPr>
          <w:rFonts w:ascii="Arial" w:hAnsi="Arial" w:cs="Arial"/>
          <w:sz w:val="22"/>
          <w:szCs w:val="22"/>
          <w:lang w:val="x-none" w:eastAsia="x-none"/>
        </w:rPr>
        <w:t>Pediatr</w:t>
      </w:r>
      <w:proofErr w:type="spellEnd"/>
      <w:r w:rsidRPr="00DF24A5">
        <w:rPr>
          <w:rFonts w:ascii="Arial" w:hAnsi="Arial" w:cs="Arial"/>
          <w:sz w:val="22"/>
          <w:szCs w:val="22"/>
          <w:lang w:val="x-none" w:eastAsia="x-none"/>
        </w:rPr>
        <w:t>. 2008;833-838</w:t>
      </w:r>
    </w:p>
    <w:p w14:paraId="54A53388" w14:textId="77777777" w:rsidR="00FE4A2B" w:rsidRPr="00DF24A5" w:rsidRDefault="00FE4A2B" w:rsidP="00FE4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Arial" w:hAnsi="Arial" w:cs="Arial"/>
          <w:sz w:val="22"/>
          <w:szCs w:val="22"/>
          <w:lang w:val="x-none" w:eastAsia="x-none"/>
        </w:rPr>
      </w:pPr>
      <w:r w:rsidRPr="00DF24A5">
        <w:rPr>
          <w:rFonts w:ascii="Arial" w:hAnsi="Arial" w:cs="Arial"/>
          <w:sz w:val="22"/>
          <w:szCs w:val="22"/>
          <w:lang w:val="x-none" w:eastAsia="x-none"/>
        </w:rPr>
        <w:t>Son MBF, Gauvreau K, Ma L et al. Treatment of Kawasaki disease: analysis of 27 US pediatric hospitals from 2001-2006. Pediatrics. 2009;124:1-8</w:t>
      </w:r>
    </w:p>
    <w:p w14:paraId="54871F38" w14:textId="77777777" w:rsidR="006B791F" w:rsidRPr="00FE4A2B" w:rsidRDefault="006B791F" w:rsidP="00FE4A2B"/>
    <w:sectPr w:rsidR="006B791F" w:rsidRPr="00FE4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080000"/>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080000"/>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080000"/>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080000"/>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080000"/>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080000"/>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080000"/>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080000"/>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080000"/>
        <w:sz w:val="24"/>
        <w:szCs w:val="24"/>
        <w:u w:val="none"/>
      </w:rPr>
    </w:lvl>
  </w:abstractNum>
  <w:abstractNum w:abstractNumId="1" w15:restartNumberingAfterBreak="0">
    <w:nsid w:val="00000002"/>
    <w:multiLevelType w:val="multilevel"/>
    <w:tmpl w:val="FFFFFFFF"/>
    <w:lvl w:ilvl="0">
      <w:start w:val="1"/>
      <w:numFmt w:val="decimal"/>
      <w:lvlText w:val="%1."/>
      <w:lvlJc w:val="left"/>
      <w:pPr>
        <w:ind w:left="720" w:hanging="360"/>
      </w:pPr>
      <w:rPr>
        <w:rFonts w:ascii="Times New Roman" w:hAnsi="Times New Roman" w:cs="Times New Roman"/>
        <w:b/>
        <w:bCs/>
        <w:i w:val="0"/>
        <w:iCs w:val="0"/>
        <w:strike w:val="0"/>
        <w:color w:val="000000"/>
        <w:sz w:val="22"/>
        <w:szCs w:val="22"/>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2"/>
        <w:szCs w:val="22"/>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2"/>
        <w:szCs w:val="22"/>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2"/>
        <w:szCs w:val="22"/>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2"/>
        <w:szCs w:val="22"/>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2"/>
        <w:szCs w:val="22"/>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2"/>
        <w:szCs w:val="22"/>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2"/>
        <w:szCs w:val="22"/>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2"/>
        <w:szCs w:val="22"/>
        <w:u w:val="none"/>
      </w:rPr>
    </w:lvl>
  </w:abstractNum>
  <w:num w:numId="1" w16cid:durableId="184682102">
    <w:abstractNumId w:val="0"/>
  </w:num>
  <w:num w:numId="2" w16cid:durableId="748623358">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num>
  <w:num w:numId="3" w16cid:durableId="1549146589">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num>
  <w:num w:numId="4" w16cid:durableId="26487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F"/>
    <w:rsid w:val="006968EF"/>
    <w:rsid w:val="006B791F"/>
    <w:rsid w:val="00754614"/>
    <w:rsid w:val="00FE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C320B"/>
  <w15:chartTrackingRefBased/>
  <w15:docId w15:val="{FADAE619-2662-2844-A09D-42F11ED2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Nathan</dc:creator>
  <cp:keywords/>
  <dc:description/>
  <cp:lastModifiedBy>Smith, Nathan</cp:lastModifiedBy>
  <cp:revision>2</cp:revision>
  <dcterms:created xsi:type="dcterms:W3CDTF">2023-03-19T18:08:00Z</dcterms:created>
  <dcterms:modified xsi:type="dcterms:W3CDTF">2023-03-19T18:08:00Z</dcterms:modified>
</cp:coreProperties>
</file>