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53474" w14:textId="3CC5493E" w:rsidR="008B45F2" w:rsidRPr="00DF24A5" w:rsidRDefault="008B45F2" w:rsidP="008B45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  <w:lang w:eastAsia="x-none"/>
        </w:rPr>
      </w:pPr>
      <w:r w:rsidRPr="0006452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  <w:lang w:eastAsia="x-none"/>
        </w:rPr>
        <w:t>Neutropenic Fever</w:t>
      </w:r>
      <w:r w:rsidR="00225C61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  <w:lang w:eastAsia="x-none"/>
        </w:rPr>
        <w:t xml:space="preserve"> </w:t>
      </w:r>
      <w:r w:rsidR="00225C61">
        <w:rPr>
          <w:b/>
          <w:bCs/>
          <w:u w:val="single"/>
        </w:rPr>
        <w:t>(Uploaded on 9/24/2023)</w:t>
      </w:r>
    </w:p>
    <w:p w14:paraId="064A2694" w14:textId="77777777" w:rsidR="008B45F2" w:rsidRPr="00064528" w:rsidRDefault="008B45F2" w:rsidP="008B4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Neutropenic Fever Inpatient Empiric Coverage</w:t>
      </w:r>
    </w:p>
    <w:p w14:paraId="65B6A679" w14:textId="77777777" w:rsidR="008B45F2" w:rsidRPr="00064528" w:rsidRDefault="008B45F2" w:rsidP="008B4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Guidelines approved by the divisions of Hematology/Oncology and Infectious Diseases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br/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br/>
      </w:r>
      <w:r w:rsidRPr="00064528">
        <w:rPr>
          <w:rFonts w:ascii="Times New Roman" w:hAnsi="Times New Roman" w:cs="Times New Roman"/>
          <w:sz w:val="22"/>
          <w:szCs w:val="22"/>
          <w:u w:val="single"/>
          <w:lang w:val="x-none" w:eastAsia="x-none"/>
        </w:rPr>
        <w:t>All patients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, on admission for fever and neutropenia, should have the following sent:</w:t>
      </w:r>
    </w:p>
    <w:p w14:paraId="2B1D5E54" w14:textId="77777777" w:rsidR="008B45F2" w:rsidRPr="00064528" w:rsidRDefault="008B45F2" w:rsidP="008B45F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Basic labs as per usual clinical protocol and the powerplan</w:t>
      </w:r>
    </w:p>
    <w:p w14:paraId="20B88559" w14:textId="77777777" w:rsidR="008B45F2" w:rsidRPr="00064528" w:rsidRDefault="008B45F2" w:rsidP="008B45F2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u w:val="single"/>
          <w:lang w:val="x-none" w:eastAsia="x-none"/>
        </w:rPr>
        <w:t>Blood cultures from all central line lumens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with ideally 2-5 mL per culture. Patients over 26kg should have adult blood culture bottles (aerobic and anaerobic 2-bottle sets) sent rather than pediatric.</w:t>
      </w:r>
    </w:p>
    <w:p w14:paraId="61E07016" w14:textId="77777777" w:rsidR="008B45F2" w:rsidRPr="00064528" w:rsidRDefault="008B45F2" w:rsidP="008B45F2">
      <w:pPr>
        <w:numPr>
          <w:ilvl w:val="1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Blood cultures should be sent daily x 3 days total, then no more sent unless one is positive or the patient has a clinical change in status, even if still febrile.</w:t>
      </w:r>
    </w:p>
    <w:p w14:paraId="7A38E424" w14:textId="77777777" w:rsidR="008B45F2" w:rsidRPr="00064528" w:rsidRDefault="008B45F2" w:rsidP="008B45F2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Procalcitonin, CRP, lactate.  This should be sent at the time of the initial blood culture and then Q24 hours x 3 days.  Any patient who is not consented for the </w:t>
      </w:r>
      <w:r w:rsidRPr="00064528"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  <w:t>“Biomarkers of Sepsis in Febrile Neutropenia” study should be approached at this time or when patient is stable.</w:t>
      </w:r>
    </w:p>
    <w:p w14:paraId="73952559" w14:textId="77777777" w:rsidR="008B45F2" w:rsidRPr="00064528" w:rsidRDefault="008B45F2" w:rsidP="008B4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</w:pPr>
    </w:p>
    <w:p w14:paraId="3BC6B34E" w14:textId="77777777" w:rsidR="008B45F2" w:rsidRPr="00064528" w:rsidRDefault="008B45F2" w:rsidP="008B4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  <w:t xml:space="preserve">1. </w:t>
      </w:r>
      <w:r w:rsidRPr="00064528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Empiric Coverage</w:t>
      </w:r>
    </w:p>
    <w:p w14:paraId="50D9876F" w14:textId="77777777" w:rsidR="008B45F2" w:rsidRPr="00064528" w:rsidRDefault="008B45F2" w:rsidP="008B45F2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Cefepime monotherapy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EXCEPT in the following situations:</w:t>
      </w:r>
    </w:p>
    <w:p w14:paraId="442D8DD5" w14:textId="77777777" w:rsidR="008B45F2" w:rsidRPr="00064528" w:rsidRDefault="008B45F2" w:rsidP="008B45F2">
      <w:pPr>
        <w:numPr>
          <w:ilvl w:val="1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the patient is clinically unstable (unstable vital signs, poor response to fluid resuscitation, need for pressor support) </w:t>
      </w:r>
    </w:p>
    <w:p w14:paraId="22A6FC6C" w14:textId="77777777" w:rsidR="008B45F2" w:rsidRPr="00064528" w:rsidRDefault="008B45F2" w:rsidP="008B45F2">
      <w:pPr>
        <w:numPr>
          <w:ilvl w:val="1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the patient has a documented culture history of resistant GNRs, MRSA, or VRE isolated from blood or another body location</w:t>
      </w:r>
    </w:p>
    <w:p w14:paraId="7B2E7F1E" w14:textId="77777777" w:rsidR="008B45F2" w:rsidRPr="00064528" w:rsidRDefault="008B45F2" w:rsidP="008B45F2">
      <w:pPr>
        <w:numPr>
          <w:ilvl w:val="1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the patient has received high-dose ara-C (or another regimen with higher than average incidence of oral mucositis)</w:t>
      </w:r>
    </w:p>
    <w:p w14:paraId="41CF9178" w14:textId="77777777" w:rsidR="008B45F2" w:rsidRPr="00064528" w:rsidRDefault="008B45F2" w:rsidP="008B45F2">
      <w:pPr>
        <w:numPr>
          <w:ilvl w:val="1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Any obvious skin or oral source is apparent, suggesting gram-positive infection</w:t>
      </w:r>
    </w:p>
    <w:p w14:paraId="530C6DE7" w14:textId="77777777" w:rsidR="008B45F2" w:rsidRPr="00064528" w:rsidRDefault="008B45F2" w:rsidP="008B4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14:paraId="1EE1116F" w14:textId="77777777" w:rsidR="008B45F2" w:rsidRPr="00064528" w:rsidRDefault="008B45F2" w:rsidP="008B45F2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i/>
          <w:iCs/>
          <w:sz w:val="22"/>
          <w:szCs w:val="22"/>
          <w:lang w:val="x-none" w:eastAsia="x-none"/>
        </w:rPr>
        <w:t>If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need to </w:t>
      </w:r>
      <w:r w:rsidRPr="00064528">
        <w:rPr>
          <w:rFonts w:ascii="Times New Roman" w:hAnsi="Times New Roman" w:cs="Times New Roman"/>
          <w:sz w:val="22"/>
          <w:szCs w:val="22"/>
          <w:u w:val="single"/>
          <w:lang w:val="x-none" w:eastAsia="x-none"/>
        </w:rPr>
        <w:t>broaden GNR coverage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for concern for gram-negative infection (sepsis, clinical worsening, intra-abdominal infection, etc.)</w:t>
      </w:r>
    </w:p>
    <w:p w14:paraId="3B6692FC" w14:textId="77777777" w:rsidR="008B45F2" w:rsidRPr="00064528" w:rsidRDefault="008B45F2" w:rsidP="008B45F2">
      <w:pPr>
        <w:numPr>
          <w:ilvl w:val="1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Consider ID consult</w:t>
      </w:r>
    </w:p>
    <w:p w14:paraId="6921A835" w14:textId="77777777" w:rsidR="008B45F2" w:rsidRPr="00064528" w:rsidRDefault="008B45F2" w:rsidP="008B45F2">
      <w:pPr>
        <w:numPr>
          <w:ilvl w:val="1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Maintain cefepime and add tobramycin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(or </w:t>
      </w:r>
      <w:r w:rsidRPr="00064528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amikacin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if a history of MDR-GNRs/ESBLs)</w:t>
      </w:r>
    </w:p>
    <w:p w14:paraId="4B3EF137" w14:textId="77777777" w:rsidR="008B45F2" w:rsidRPr="00064528" w:rsidRDefault="008B45F2" w:rsidP="008B45F2">
      <w:pPr>
        <w:numPr>
          <w:ilvl w:val="2"/>
          <w:numId w:val="4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ind w:left="216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If there is a suspected need for atypical (mycoplasma) coverage, or if the patient is in renal failure with GFR &lt; 30, would then add </w:t>
      </w:r>
      <w:r w:rsidRPr="00064528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levofloxacin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instead</w:t>
      </w:r>
    </w:p>
    <w:p w14:paraId="48B89D67" w14:textId="77777777" w:rsidR="008B45F2" w:rsidRPr="00064528" w:rsidRDefault="008B45F2" w:rsidP="008B45F2">
      <w:pPr>
        <w:numPr>
          <w:ilvl w:val="2"/>
          <w:numId w:val="4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ind w:left="216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Dose aminoglycoside as once-daily dosing regimen </w:t>
      </w:r>
    </w:p>
    <w:p w14:paraId="6D7B4AC3" w14:textId="77777777" w:rsidR="008B45F2" w:rsidRPr="00064528" w:rsidRDefault="008B45F2" w:rsidP="008B45F2">
      <w:pPr>
        <w:numPr>
          <w:ilvl w:val="3"/>
          <w:numId w:val="4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ind w:left="288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for tobramycin: 7 mg/kg/dose once daily with trough level checked at 24 hours after 1</w:t>
      </w:r>
      <w:r w:rsidRPr="00064528">
        <w:rPr>
          <w:rFonts w:ascii="Times New Roman" w:hAnsi="Times New Roman" w:cs="Times New Roman"/>
          <w:position w:val="5"/>
          <w:sz w:val="22"/>
          <w:szCs w:val="22"/>
          <w:lang w:val="x-none" w:eastAsia="x-none"/>
        </w:rPr>
        <w:t>st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dose, levels should be &lt;2 mcg/mL.</w:t>
      </w:r>
    </w:p>
    <w:p w14:paraId="2DF00C95" w14:textId="77777777" w:rsidR="008B45F2" w:rsidRPr="00064528" w:rsidRDefault="008B45F2" w:rsidP="008B4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14:paraId="6D1F7FC6" w14:textId="77777777" w:rsidR="008B45F2" w:rsidRPr="00064528" w:rsidRDefault="008B45F2" w:rsidP="008B45F2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i/>
          <w:iCs/>
          <w:sz w:val="22"/>
          <w:szCs w:val="22"/>
          <w:lang w:val="x-none" w:eastAsia="x-none"/>
        </w:rPr>
        <w:t>If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</w:t>
      </w:r>
      <w:r w:rsidRPr="00064528">
        <w:rPr>
          <w:rFonts w:ascii="Times New Roman" w:hAnsi="Times New Roman" w:cs="Times New Roman"/>
          <w:sz w:val="22"/>
          <w:szCs w:val="22"/>
          <w:u w:val="single"/>
          <w:lang w:val="x-none" w:eastAsia="x-none"/>
        </w:rPr>
        <w:t>broader Gram-positive coverage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is desired for reasons outlined above (poor line appearance or concern for line sepsis, obvious gram-positive source such as skin or oral mucosa as above, receipt of high dose ara-C or equivalent as above, etc.)</w:t>
      </w:r>
    </w:p>
    <w:p w14:paraId="6C75D25A" w14:textId="77777777" w:rsidR="008B45F2" w:rsidRPr="00064528" w:rsidRDefault="008B45F2" w:rsidP="008B45F2">
      <w:pPr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Consider ID consult</w:t>
      </w:r>
    </w:p>
    <w:p w14:paraId="7F13B79C" w14:textId="77777777" w:rsidR="008B45F2" w:rsidRPr="00064528" w:rsidRDefault="008B45F2" w:rsidP="008B45F2">
      <w:pPr>
        <w:numPr>
          <w:ilvl w:val="1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Maintain cefepime and add vancomycin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empirically, dosed at 15 mg/kg/dose IV q6h for patients under 50kg or tanner &lt;4; for tanner 4 or &gt;50 kg, use 1 gm q12h (adult dosing). </w:t>
      </w:r>
    </w:p>
    <w:p w14:paraId="3277D1AF" w14:textId="77777777" w:rsidR="008B45F2" w:rsidRPr="00064528" w:rsidRDefault="008B45F2" w:rsidP="008B45F2">
      <w:pPr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Obtain trough 30 minutes prior to 4</w:t>
      </w:r>
      <w:r w:rsidRPr="00064528">
        <w:rPr>
          <w:rFonts w:ascii="Times New Roman" w:hAnsi="Times New Roman" w:cs="Times New Roman"/>
          <w:position w:val="5"/>
          <w:sz w:val="22"/>
          <w:szCs w:val="22"/>
          <w:lang w:val="x-none" w:eastAsia="x-none"/>
        </w:rPr>
        <w:t>th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dose with target troughs at 15-20 mcg/mL.</w:t>
      </w:r>
    </w:p>
    <w:p w14:paraId="39B403B6" w14:textId="77777777" w:rsidR="008B45F2" w:rsidRPr="00064528" w:rsidRDefault="008B45F2" w:rsidP="008B4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14:paraId="49FF2E7D" w14:textId="77777777" w:rsidR="008B45F2" w:rsidRPr="00064528" w:rsidRDefault="008B45F2" w:rsidP="008B45F2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i/>
          <w:iCs/>
          <w:sz w:val="22"/>
          <w:szCs w:val="22"/>
          <w:lang w:val="x-none" w:eastAsia="x-none"/>
        </w:rPr>
        <w:t>If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concern for an </w:t>
      </w:r>
      <w:r w:rsidRPr="00064528">
        <w:rPr>
          <w:rFonts w:ascii="Times New Roman" w:hAnsi="Times New Roman" w:cs="Times New Roman"/>
          <w:sz w:val="22"/>
          <w:szCs w:val="22"/>
          <w:u w:val="single"/>
          <w:lang w:val="x-none" w:eastAsia="x-none"/>
        </w:rPr>
        <w:t>intra-abdominal source (i.e. typhlitis) or anaerobic coverage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is desired:</w:t>
      </w:r>
    </w:p>
    <w:p w14:paraId="5DA7554A" w14:textId="77777777" w:rsidR="008B45F2" w:rsidRPr="00064528" w:rsidRDefault="008B45F2" w:rsidP="008B45F2">
      <w:pPr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use </w:t>
      </w:r>
      <w:r w:rsidRPr="00064528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piperacillin-tazobactam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</w:t>
      </w:r>
      <w:r w:rsidRPr="00064528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monotherapy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OR </w:t>
      </w:r>
      <w:r w:rsidRPr="00064528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cefepime + Flagyl</w:t>
      </w:r>
    </w:p>
    <w:p w14:paraId="777FD697" w14:textId="77777777" w:rsidR="008B45F2" w:rsidRPr="00064528" w:rsidRDefault="008B45F2" w:rsidP="008B45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14:paraId="7E584F78" w14:textId="77777777" w:rsidR="008B45F2" w:rsidRPr="00064528" w:rsidRDefault="008B45F2" w:rsidP="008B45F2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i/>
          <w:iCs/>
          <w:sz w:val="22"/>
          <w:szCs w:val="22"/>
          <w:lang w:val="x-none" w:eastAsia="x-none"/>
        </w:rPr>
        <w:t>If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the patient is </w:t>
      </w:r>
      <w:r w:rsidRPr="00064528">
        <w:rPr>
          <w:rFonts w:ascii="Times New Roman" w:hAnsi="Times New Roman" w:cs="Times New Roman"/>
          <w:sz w:val="22"/>
          <w:szCs w:val="22"/>
          <w:u w:val="single"/>
          <w:lang w:val="x-none" w:eastAsia="x-none"/>
        </w:rPr>
        <w:t>penicillin-allergic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:</w:t>
      </w:r>
    </w:p>
    <w:p w14:paraId="1CEDAF19" w14:textId="77777777" w:rsidR="008B45F2" w:rsidRPr="00064528" w:rsidRDefault="008B45F2" w:rsidP="008B45F2">
      <w:pPr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Consider ID consult</w:t>
      </w:r>
    </w:p>
    <w:p w14:paraId="65631956" w14:textId="77777777" w:rsidR="008B45F2" w:rsidRPr="00064528" w:rsidRDefault="008B45F2" w:rsidP="008B45F2">
      <w:pPr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if </w:t>
      </w:r>
      <w:r w:rsidRPr="00064528">
        <w:rPr>
          <w:rFonts w:ascii="Times New Roman" w:hAnsi="Times New Roman" w:cs="Times New Roman"/>
          <w:sz w:val="22"/>
          <w:szCs w:val="22"/>
          <w:u w:val="single"/>
          <w:lang w:val="x-none" w:eastAsia="x-none"/>
        </w:rPr>
        <w:t>rash alone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, can use </w:t>
      </w:r>
      <w:r w:rsidRPr="00064528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cefepime monotherapy</w:t>
      </w:r>
    </w:p>
    <w:p w14:paraId="25CFEE7B" w14:textId="77777777" w:rsidR="008B45F2" w:rsidRPr="00064528" w:rsidRDefault="008B45F2" w:rsidP="008B45F2">
      <w:pPr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if </w:t>
      </w:r>
      <w:r w:rsidRPr="00064528">
        <w:rPr>
          <w:rFonts w:ascii="Times New Roman" w:hAnsi="Times New Roman" w:cs="Times New Roman"/>
          <w:sz w:val="22"/>
          <w:szCs w:val="22"/>
          <w:u w:val="single"/>
          <w:lang w:val="x-none" w:eastAsia="x-none"/>
        </w:rPr>
        <w:t>cephalosporin-allergic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OR </w:t>
      </w:r>
      <w:r w:rsidRPr="00064528">
        <w:rPr>
          <w:rFonts w:ascii="Times New Roman" w:hAnsi="Times New Roman" w:cs="Times New Roman"/>
          <w:sz w:val="22"/>
          <w:szCs w:val="22"/>
          <w:u w:val="single"/>
          <w:lang w:val="x-none" w:eastAsia="x-none"/>
        </w:rPr>
        <w:t>more severe penicillin-allergic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(i.e. hives, anaphylaxis), use </w:t>
      </w:r>
      <w:r w:rsidRPr="00064528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levofloxacin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AND </w:t>
      </w:r>
      <w:r w:rsidRPr="00064528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vancomycin</w:t>
      </w:r>
    </w:p>
    <w:p w14:paraId="34FCB04A" w14:textId="77777777" w:rsidR="008B45F2" w:rsidRPr="00064528" w:rsidRDefault="008B45F2" w:rsidP="008B45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14:paraId="5D03C4EC" w14:textId="77777777" w:rsidR="008B45F2" w:rsidRPr="00064528" w:rsidRDefault="008B45F2" w:rsidP="008B45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2. </w:t>
      </w:r>
      <w:r w:rsidRPr="00064528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When to Narrow or Discontinue Coverage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br/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br/>
        <w:t xml:space="preserve">a. </w:t>
      </w:r>
      <w:r w:rsidRPr="00064528">
        <w:rPr>
          <w:rFonts w:ascii="Times New Roman" w:hAnsi="Times New Roman" w:cs="Times New Roman"/>
          <w:i/>
          <w:iCs/>
          <w:sz w:val="22"/>
          <w:szCs w:val="22"/>
          <w:lang w:val="x-none" w:eastAsia="x-none"/>
        </w:rPr>
        <w:t>If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NO organism found</w:t>
      </w:r>
    </w:p>
    <w:p w14:paraId="74A67ADB" w14:textId="77777777" w:rsidR="008B45F2" w:rsidRPr="00064528" w:rsidRDefault="008B45F2" w:rsidP="008B4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 </w:t>
      </w:r>
    </w:p>
    <w:p w14:paraId="31C41DB1" w14:textId="77777777" w:rsidR="008B45F2" w:rsidRPr="00064528" w:rsidRDefault="008B45F2" w:rsidP="008B45F2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i/>
          <w:iCs/>
          <w:sz w:val="22"/>
          <w:szCs w:val="22"/>
          <w:lang w:val="x-none" w:eastAsia="x-none"/>
        </w:rPr>
        <w:t>If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</w:t>
      </w:r>
      <w:r w:rsidRPr="00064528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no source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for fever is found, continue </w:t>
      </w:r>
      <w:r w:rsidRPr="00064528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cefepime monotherapy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</w:t>
      </w:r>
      <w:r w:rsidRPr="00064528">
        <w:rPr>
          <w:rFonts w:ascii="Times New Roman" w:hAnsi="Times New Roman" w:cs="Times New Roman"/>
          <w:sz w:val="22"/>
          <w:szCs w:val="22"/>
          <w:u w:val="single"/>
          <w:lang w:val="x-none" w:eastAsia="x-none"/>
        </w:rPr>
        <w:t>until all below are satisfied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:</w:t>
      </w:r>
    </w:p>
    <w:p w14:paraId="4BB3EC23" w14:textId="77777777" w:rsidR="008B45F2" w:rsidRPr="00064528" w:rsidRDefault="008B45F2" w:rsidP="008B45F2">
      <w:pPr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afebrile at least 48 hours</w:t>
      </w:r>
    </w:p>
    <w:p w14:paraId="5076D694" w14:textId="77777777" w:rsidR="008B45F2" w:rsidRPr="00064528" w:rsidRDefault="008B45F2" w:rsidP="008B45F2">
      <w:pPr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clinically well (i.e. discharge-ready)</w:t>
      </w:r>
    </w:p>
    <w:p w14:paraId="7A12B9C3" w14:textId="77777777" w:rsidR="008B45F2" w:rsidRPr="00064528" w:rsidRDefault="008B45F2" w:rsidP="008B45F2">
      <w:pPr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with ANC ≥200 and actively rising</w:t>
      </w:r>
    </w:p>
    <w:p w14:paraId="3B6D716A" w14:textId="77777777" w:rsidR="008B45F2" w:rsidRPr="00064528" w:rsidRDefault="008B45F2" w:rsidP="008B45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14:paraId="70A4C7D8" w14:textId="77777777" w:rsidR="008B45F2" w:rsidRPr="00064528" w:rsidRDefault="008B45F2" w:rsidP="008B45F2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i/>
          <w:iCs/>
          <w:sz w:val="22"/>
          <w:szCs w:val="22"/>
          <w:lang w:val="x-none" w:eastAsia="x-none"/>
        </w:rPr>
        <w:t>If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a source for the fever is identified and the patient shows clinical improvement/resolution of symptoms, continue appropriate therapy for the identified source.</w:t>
      </w:r>
    </w:p>
    <w:p w14:paraId="7C93AF96" w14:textId="77777777" w:rsidR="008B45F2" w:rsidRPr="00064528" w:rsidRDefault="008B45F2" w:rsidP="008B45F2">
      <w:pPr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This could continue as </w:t>
      </w:r>
      <w:r w:rsidRPr="00064528">
        <w:rPr>
          <w:rFonts w:ascii="Times New Roman" w:hAnsi="Times New Roman" w:cs="Times New Roman"/>
          <w:i/>
          <w:iCs/>
          <w:sz w:val="22"/>
          <w:szCs w:val="22"/>
          <w:lang w:val="x-none" w:eastAsia="x-none"/>
        </w:rPr>
        <w:t>oral antibiotics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after discharge, if needed, for a total course (including the inpatient therapy) of 14 days total at minimum, with total duration and antibiotic choice depending on the source.</w:t>
      </w:r>
    </w:p>
    <w:p w14:paraId="48C41317" w14:textId="77777777" w:rsidR="008B45F2" w:rsidRPr="00064528" w:rsidRDefault="008B45F2" w:rsidP="008B45F2">
      <w:pPr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May call ID for guidance on oral transition</w:t>
      </w:r>
    </w:p>
    <w:p w14:paraId="251D2E1A" w14:textId="77777777" w:rsidR="008B45F2" w:rsidRPr="00064528" w:rsidRDefault="008B45F2" w:rsidP="008B45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14:paraId="6B7E5FA1" w14:textId="77777777" w:rsidR="008B45F2" w:rsidRPr="00064528" w:rsidRDefault="008B45F2" w:rsidP="008B45F2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i/>
          <w:iCs/>
          <w:sz w:val="22"/>
          <w:szCs w:val="22"/>
          <w:lang w:val="x-none" w:eastAsia="x-none"/>
        </w:rPr>
        <w:t>If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</w:t>
      </w:r>
      <w:r w:rsidRPr="00064528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vancomycin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was added empirically</w:t>
      </w:r>
    </w:p>
    <w:p w14:paraId="6A278890" w14:textId="77777777" w:rsidR="008B45F2" w:rsidRPr="00064528" w:rsidRDefault="008B45F2" w:rsidP="008B45F2">
      <w:pPr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i/>
          <w:iCs/>
          <w:sz w:val="22"/>
          <w:szCs w:val="22"/>
          <w:lang w:val="x-none" w:eastAsia="x-none"/>
        </w:rPr>
        <w:t xml:space="preserve">If 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cultures are negative, and there is </w:t>
      </w:r>
      <w:r w:rsidRPr="00064528">
        <w:rPr>
          <w:rFonts w:ascii="Times New Roman" w:hAnsi="Times New Roman" w:cs="Times New Roman"/>
          <w:sz w:val="22"/>
          <w:szCs w:val="22"/>
          <w:u w:val="single"/>
          <w:lang w:val="x-none" w:eastAsia="x-none"/>
        </w:rPr>
        <w:t>no clinical indication for continued use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, would </w:t>
      </w:r>
      <w:r w:rsidRPr="00064528">
        <w:rPr>
          <w:rFonts w:ascii="Times New Roman" w:hAnsi="Times New Roman" w:cs="Times New Roman"/>
          <w:sz w:val="22"/>
          <w:szCs w:val="22"/>
          <w:u w:val="single"/>
          <w:lang w:val="x-none" w:eastAsia="x-none"/>
        </w:rPr>
        <w:t>consider stopping vancomycin after 48 hours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.</w:t>
      </w:r>
    </w:p>
    <w:p w14:paraId="09AEFDDE" w14:textId="77777777" w:rsidR="008B45F2" w:rsidRPr="00064528" w:rsidRDefault="008B45F2" w:rsidP="008B45F2">
      <w:pPr>
        <w:numPr>
          <w:ilvl w:val="2"/>
          <w:numId w:val="9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Clinical indications for continued use would include improvement in clinical status with initiation of vancomycin, or indications for initial use as on page 1.</w:t>
      </w:r>
    </w:p>
    <w:p w14:paraId="194DE34D" w14:textId="77777777" w:rsidR="008B45F2" w:rsidRPr="00064528" w:rsidRDefault="008B45F2" w:rsidP="008B45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14:paraId="5C15B68C" w14:textId="77777777" w:rsidR="008B45F2" w:rsidRPr="00064528" w:rsidRDefault="008B45F2" w:rsidP="008B45F2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i/>
          <w:iCs/>
          <w:sz w:val="22"/>
          <w:szCs w:val="22"/>
          <w:lang w:val="x-none" w:eastAsia="x-none"/>
        </w:rPr>
        <w:t>If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double gram-negative coverage was added empirically</w:t>
      </w:r>
    </w:p>
    <w:p w14:paraId="4808EDD4" w14:textId="77777777" w:rsidR="008B45F2" w:rsidRPr="00064528" w:rsidRDefault="008B45F2" w:rsidP="008B45F2">
      <w:pPr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It may be more difficult to narrow coverage given the patient</w:t>
      </w:r>
      <w:r w:rsidRPr="00064528"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  <w:t>’s prior instability.</w:t>
      </w:r>
    </w:p>
    <w:p w14:paraId="1998B71C" w14:textId="77777777" w:rsidR="008B45F2" w:rsidRPr="00064528" w:rsidRDefault="008B45F2" w:rsidP="008B45F2">
      <w:pPr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  <w:t>Narrowing should be considered on a case-by-case basis, depending on the reason for adding the drug.</w:t>
      </w:r>
    </w:p>
    <w:p w14:paraId="12B55F87" w14:textId="77777777" w:rsidR="008B45F2" w:rsidRPr="00064528" w:rsidRDefault="008B45F2" w:rsidP="008B45F2">
      <w:pPr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  <w:t>May call ID for guidance</w:t>
      </w:r>
    </w:p>
    <w:p w14:paraId="531E73EA" w14:textId="77777777" w:rsidR="008B45F2" w:rsidRPr="00064528" w:rsidRDefault="008B45F2" w:rsidP="008B4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  <w:t> </w:t>
      </w:r>
    </w:p>
    <w:p w14:paraId="5251C8D9" w14:textId="77777777" w:rsidR="008B45F2" w:rsidRPr="00064528" w:rsidRDefault="008B45F2" w:rsidP="008B4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  <w:t xml:space="preserve">b. </w:t>
      </w:r>
      <w:r w:rsidRPr="00064528">
        <w:rPr>
          <w:rFonts w:ascii="Times New Roman" w:hAnsi="Times New Roman" w:cs="Times New Roman"/>
          <w:i/>
          <w:iCs/>
          <w:sz w:val="22"/>
          <w:szCs w:val="22"/>
          <w:lang w:val="x-none" w:eastAsia="x-none"/>
        </w:rPr>
        <w:t>If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an organism is found</w:t>
      </w:r>
    </w:p>
    <w:p w14:paraId="26931BCD" w14:textId="77777777" w:rsidR="008B45F2" w:rsidRPr="00064528" w:rsidRDefault="008B45F2" w:rsidP="008B4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 </w:t>
      </w:r>
    </w:p>
    <w:p w14:paraId="749E61AF" w14:textId="77777777" w:rsidR="008B45F2" w:rsidRPr="00064528" w:rsidRDefault="008B45F2" w:rsidP="008B45F2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u w:val="single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u w:val="single"/>
          <w:lang w:val="x-none" w:eastAsia="x-none"/>
        </w:rPr>
        <w:t>Gram-Negative Infections</w:t>
      </w:r>
    </w:p>
    <w:p w14:paraId="7B166B16" w14:textId="77777777" w:rsidR="008B45F2" w:rsidRPr="00064528" w:rsidRDefault="008B45F2" w:rsidP="008B45F2">
      <w:pPr>
        <w:numPr>
          <w:ilvl w:val="1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stop vancomycin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if it was empirically added and patient is clinically stable</w:t>
      </w:r>
    </w:p>
    <w:p w14:paraId="26171637" w14:textId="77777777" w:rsidR="008B45F2" w:rsidRPr="00064528" w:rsidRDefault="008B45F2" w:rsidP="008B45F2">
      <w:pPr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narrow based on sensitivities but </w:t>
      </w:r>
      <w:r w:rsidRPr="00064528">
        <w:rPr>
          <w:rFonts w:ascii="Times New Roman" w:hAnsi="Times New Roman" w:cs="Times New Roman"/>
          <w:sz w:val="22"/>
          <w:szCs w:val="22"/>
          <w:u w:val="single"/>
          <w:lang w:val="x-none" w:eastAsia="x-none"/>
        </w:rPr>
        <w:t>no narrower than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</w:t>
      </w:r>
      <w:r w:rsidRPr="00064528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cefepime monotherapy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. </w:t>
      </w:r>
    </w:p>
    <w:p w14:paraId="5EBC131F" w14:textId="77777777" w:rsidR="008B45F2" w:rsidRPr="00064528" w:rsidRDefault="008B45F2" w:rsidP="008B45F2">
      <w:pPr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u w:val="single"/>
          <w:lang w:val="x-none" w:eastAsia="x-none"/>
        </w:rPr>
        <w:t>can stop double coverage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if patient afebrile and clinically stable for at least 48 hours</w:t>
      </w:r>
    </w:p>
    <w:p w14:paraId="70366F9D" w14:textId="77777777" w:rsidR="008B45F2" w:rsidRPr="00064528" w:rsidRDefault="008B45F2" w:rsidP="008B45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14:paraId="7364D4B1" w14:textId="77777777" w:rsidR="008B45F2" w:rsidRPr="00064528" w:rsidRDefault="008B45F2" w:rsidP="008B45F2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u w:val="single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u w:val="single"/>
          <w:lang w:val="x-none" w:eastAsia="x-none"/>
        </w:rPr>
        <w:t>Gram-Positive Infections</w:t>
      </w:r>
    </w:p>
    <w:p w14:paraId="7E407179" w14:textId="77777777" w:rsidR="008B45F2" w:rsidRPr="00064528" w:rsidRDefault="008B45F2" w:rsidP="008B45F2">
      <w:pPr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i/>
          <w:iCs/>
          <w:sz w:val="22"/>
          <w:szCs w:val="22"/>
          <w:lang w:val="x-none" w:eastAsia="x-none"/>
        </w:rPr>
        <w:t xml:space="preserve">If 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required by sensitivities,</w:t>
      </w:r>
      <w:r w:rsidRPr="00064528">
        <w:rPr>
          <w:rFonts w:ascii="Times New Roman" w:hAnsi="Times New Roman" w:cs="Times New Roman"/>
          <w:i/>
          <w:iCs/>
          <w:sz w:val="22"/>
          <w:szCs w:val="22"/>
          <w:lang w:val="x-none" w:eastAsia="x-none"/>
        </w:rPr>
        <w:t xml:space="preserve"> </w:t>
      </w:r>
      <w:r w:rsidRPr="00064528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add Vancomycin</w:t>
      </w:r>
    </w:p>
    <w:p w14:paraId="094E33CF" w14:textId="77777777" w:rsidR="008B45F2" w:rsidRPr="00064528" w:rsidRDefault="008B45F2" w:rsidP="008B45F2">
      <w:pPr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i/>
          <w:iCs/>
          <w:sz w:val="22"/>
          <w:szCs w:val="22"/>
          <w:lang w:val="x-none" w:eastAsia="x-none"/>
        </w:rPr>
        <w:t>If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there is good evidence for GPCs as the source of fever (see above and on page 1) and the patient is now clinically well and afebrile x 48 hours, could </w:t>
      </w:r>
      <w:r w:rsidRPr="00064528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consider discontinuing cefepime and continuing on vancomycin monotherapy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or narrower GPC coverage if appropriate.     </w:t>
      </w:r>
    </w:p>
    <w:p w14:paraId="182641A0" w14:textId="77777777" w:rsidR="008B45F2" w:rsidRPr="00064528" w:rsidRDefault="008B45F2" w:rsidP="008B45F2">
      <w:pPr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i/>
          <w:iCs/>
          <w:sz w:val="22"/>
          <w:szCs w:val="22"/>
          <w:lang w:val="x-none" w:eastAsia="x-none"/>
        </w:rPr>
        <w:lastRenderedPageBreak/>
        <w:t>If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the organism is </w:t>
      </w:r>
      <w:r w:rsidRPr="00064528">
        <w:rPr>
          <w:rFonts w:ascii="Times New Roman" w:hAnsi="Times New Roman" w:cs="Times New Roman"/>
          <w:sz w:val="22"/>
          <w:szCs w:val="22"/>
          <w:u w:val="single"/>
          <w:lang w:val="x-none" w:eastAsia="x-none"/>
        </w:rPr>
        <w:t>sensitive to oxacillin or ampicillin or 1</w:t>
      </w:r>
      <w:r w:rsidRPr="00064528">
        <w:rPr>
          <w:rFonts w:ascii="Times New Roman" w:hAnsi="Times New Roman" w:cs="Times New Roman"/>
          <w:position w:val="5"/>
          <w:sz w:val="22"/>
          <w:szCs w:val="22"/>
          <w:u w:val="single"/>
          <w:lang w:val="x-none" w:eastAsia="x-none"/>
        </w:rPr>
        <w:t>st</w:t>
      </w:r>
      <w:r w:rsidRPr="00064528">
        <w:rPr>
          <w:rFonts w:ascii="Times New Roman" w:hAnsi="Times New Roman" w:cs="Times New Roman"/>
          <w:sz w:val="22"/>
          <w:szCs w:val="22"/>
          <w:u w:val="single"/>
          <w:lang w:val="x-none" w:eastAsia="x-none"/>
        </w:rPr>
        <w:t>-generation cephalosporins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, can continue to use </w:t>
      </w:r>
      <w:r w:rsidRPr="00064528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cefepime monotherapy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.</w:t>
      </w:r>
    </w:p>
    <w:p w14:paraId="0EB05E29" w14:textId="77777777" w:rsidR="008B45F2" w:rsidRPr="00064528" w:rsidRDefault="008B45F2" w:rsidP="008B45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14:paraId="1F1905DE" w14:textId="77777777" w:rsidR="008B45F2" w:rsidRPr="00064528" w:rsidRDefault="008B45F2" w:rsidP="008B45F2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i/>
          <w:iCs/>
          <w:sz w:val="22"/>
          <w:szCs w:val="22"/>
          <w:lang w:val="x-none" w:eastAsia="x-none"/>
        </w:rPr>
        <w:t>If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a </w:t>
      </w:r>
      <w:r w:rsidRPr="00064528">
        <w:rPr>
          <w:rFonts w:ascii="Times New Roman" w:hAnsi="Times New Roman" w:cs="Times New Roman"/>
          <w:sz w:val="22"/>
          <w:szCs w:val="22"/>
          <w:u w:val="single"/>
          <w:lang w:val="x-none" w:eastAsia="x-none"/>
        </w:rPr>
        <w:t>more resistant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GNR or GPC is grown</w:t>
      </w:r>
    </w:p>
    <w:p w14:paraId="1E02C741" w14:textId="77777777" w:rsidR="008B45F2" w:rsidRPr="00064528" w:rsidRDefault="008B45F2" w:rsidP="008B45F2">
      <w:pPr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strongly consider an ID consult</w:t>
      </w:r>
    </w:p>
    <w:p w14:paraId="6BA2C587" w14:textId="77777777" w:rsidR="008B45F2" w:rsidRPr="00064528" w:rsidRDefault="008B45F2" w:rsidP="008B45F2">
      <w:pPr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treatment decision should still be guided by susceptibility panel and potential toxicity.</w:t>
      </w:r>
    </w:p>
    <w:p w14:paraId="5E80BFBB" w14:textId="77777777" w:rsidR="008B45F2" w:rsidRPr="00064528" w:rsidRDefault="008B45F2" w:rsidP="008B45F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14:paraId="0C485429" w14:textId="77777777" w:rsidR="008B45F2" w:rsidRPr="00064528" w:rsidRDefault="008B45F2" w:rsidP="008B4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3. </w:t>
      </w:r>
      <w:r w:rsidRPr="00064528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When to Escalate to Antifungal Coverage</w:t>
      </w:r>
    </w:p>
    <w:p w14:paraId="4DD15999" w14:textId="77777777" w:rsidR="008B45F2" w:rsidRPr="00064528" w:rsidRDefault="008B45F2" w:rsidP="008B4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 </w:t>
      </w:r>
    </w:p>
    <w:p w14:paraId="73671EF7" w14:textId="77777777" w:rsidR="008B45F2" w:rsidRPr="00064528" w:rsidRDefault="008B45F2" w:rsidP="008B45F2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i/>
          <w:iCs/>
          <w:sz w:val="22"/>
          <w:szCs w:val="22"/>
          <w:lang w:val="x-none" w:eastAsia="x-none"/>
        </w:rPr>
        <w:t>If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simply </w:t>
      </w:r>
      <w:r w:rsidRPr="00064528">
        <w:rPr>
          <w:rFonts w:ascii="Times New Roman" w:hAnsi="Times New Roman" w:cs="Times New Roman"/>
          <w:sz w:val="22"/>
          <w:szCs w:val="22"/>
          <w:u w:val="single"/>
          <w:lang w:val="x-none" w:eastAsia="x-none"/>
        </w:rPr>
        <w:t>persistently febrile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and </w:t>
      </w:r>
      <w:r w:rsidRPr="00064528">
        <w:rPr>
          <w:rFonts w:ascii="Times New Roman" w:hAnsi="Times New Roman" w:cs="Times New Roman"/>
          <w:sz w:val="22"/>
          <w:szCs w:val="22"/>
          <w:u w:val="single"/>
          <w:lang w:val="x-none" w:eastAsia="x-none"/>
        </w:rPr>
        <w:t>not worsening/no clinical change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, hold off on broadening coverage for 4-5 days.</w:t>
      </w:r>
    </w:p>
    <w:p w14:paraId="561BE882" w14:textId="77777777" w:rsidR="008B45F2" w:rsidRPr="00064528" w:rsidRDefault="008B45F2" w:rsidP="008B45F2">
      <w:pPr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Initiate searches (if not already done) for a </w:t>
      </w:r>
      <w:r w:rsidRPr="00064528">
        <w:rPr>
          <w:rFonts w:ascii="Times New Roman" w:hAnsi="Times New Roman" w:cs="Times New Roman"/>
          <w:sz w:val="22"/>
          <w:szCs w:val="22"/>
          <w:u w:val="single"/>
          <w:lang w:val="x-none" w:eastAsia="x-none"/>
        </w:rPr>
        <w:t>viral cause</w:t>
      </w:r>
    </w:p>
    <w:p w14:paraId="07B3A9F5" w14:textId="77777777" w:rsidR="008B45F2" w:rsidRPr="00064528" w:rsidRDefault="008B45F2" w:rsidP="008B45F2">
      <w:pPr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Repeat </w:t>
      </w:r>
      <w:r w:rsidRPr="00064528">
        <w:rPr>
          <w:rFonts w:ascii="Times New Roman" w:hAnsi="Times New Roman" w:cs="Times New Roman"/>
          <w:sz w:val="22"/>
          <w:szCs w:val="22"/>
          <w:u w:val="single"/>
          <w:lang w:val="x-none" w:eastAsia="x-none"/>
        </w:rPr>
        <w:t>blood cultures daily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(with fever spikes if possible / if still febrile. Consider sending fungal isolator blood cultures</w:t>
      </w:r>
    </w:p>
    <w:p w14:paraId="128BD09B" w14:textId="77777777" w:rsidR="008B45F2" w:rsidRPr="00064528" w:rsidRDefault="008B45F2" w:rsidP="008B45F2">
      <w:pPr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Perform </w:t>
      </w:r>
      <w:r w:rsidRPr="00064528">
        <w:rPr>
          <w:rFonts w:ascii="Times New Roman" w:hAnsi="Times New Roman" w:cs="Times New Roman"/>
          <w:sz w:val="22"/>
          <w:szCs w:val="22"/>
          <w:u w:val="single"/>
          <w:lang w:val="x-none" w:eastAsia="x-none"/>
        </w:rPr>
        <w:t>repeat detailed physical exams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for less easily observed sources</w:t>
      </w:r>
      <w:r w:rsidRPr="00064528"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  <w:t>—sites of skin breakdown, oral lesions, etc.</w:t>
      </w:r>
    </w:p>
    <w:p w14:paraId="18CE916B" w14:textId="77777777" w:rsidR="008B45F2" w:rsidRPr="00064528" w:rsidRDefault="008B45F2" w:rsidP="008B45F2">
      <w:pPr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u w:val="single"/>
          <w:lang w:val="x-none" w:eastAsia="x-none"/>
        </w:rPr>
        <w:t>Broaden antibacterial coverage if clinically worsens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during this time period</w:t>
      </w:r>
    </w:p>
    <w:p w14:paraId="47AD77CF" w14:textId="77777777" w:rsidR="008B45F2" w:rsidRPr="00064528" w:rsidRDefault="008B45F2" w:rsidP="008B45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14:paraId="64DA140B" w14:textId="77777777" w:rsidR="008B45F2" w:rsidRPr="00064528" w:rsidRDefault="008B45F2" w:rsidP="008B45F2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i/>
          <w:iCs/>
          <w:sz w:val="22"/>
          <w:szCs w:val="22"/>
          <w:lang w:val="x-none" w:eastAsia="x-none"/>
        </w:rPr>
        <w:t>If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not defervescing and still neutropenic at 5 days</w:t>
      </w:r>
    </w:p>
    <w:p w14:paraId="1D3FCDA7" w14:textId="77777777" w:rsidR="008B45F2" w:rsidRPr="00064528" w:rsidRDefault="008B45F2" w:rsidP="008B45F2">
      <w:pPr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consider starting antifungal workup including but not limited to:</w:t>
      </w:r>
    </w:p>
    <w:p w14:paraId="33C14979" w14:textId="77777777" w:rsidR="008B45F2" w:rsidRPr="00064528" w:rsidRDefault="008B45F2" w:rsidP="008B45F2">
      <w:pPr>
        <w:numPr>
          <w:ilvl w:val="2"/>
          <w:numId w:val="9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serum aspergillus galactomannan</w:t>
      </w:r>
    </w:p>
    <w:p w14:paraId="192C7D94" w14:textId="77777777" w:rsidR="008B45F2" w:rsidRPr="00064528" w:rsidRDefault="008B45F2" w:rsidP="008B45F2">
      <w:pPr>
        <w:numPr>
          <w:ilvl w:val="2"/>
          <w:numId w:val="9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CT scan chest/abdomen/pelvis</w:t>
      </w:r>
    </w:p>
    <w:p w14:paraId="5ADA4957" w14:textId="77777777" w:rsidR="008B45F2" w:rsidRPr="00064528" w:rsidRDefault="008B45F2" w:rsidP="008B45F2">
      <w:pPr>
        <w:numPr>
          <w:ilvl w:val="2"/>
          <w:numId w:val="9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renal/liver/spleen ultrasound</w:t>
      </w:r>
    </w:p>
    <w:p w14:paraId="033C7FC0" w14:textId="77777777" w:rsidR="008B45F2" w:rsidRPr="00064528" w:rsidRDefault="008B45F2" w:rsidP="008B45F2">
      <w:pPr>
        <w:numPr>
          <w:ilvl w:val="2"/>
          <w:numId w:val="9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echocardiography</w:t>
      </w:r>
    </w:p>
    <w:p w14:paraId="42FDA6DE" w14:textId="77777777" w:rsidR="008B45F2" w:rsidRPr="00064528" w:rsidRDefault="008B45F2" w:rsidP="008B45F2">
      <w:pPr>
        <w:numPr>
          <w:ilvl w:val="2"/>
          <w:numId w:val="9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blood culture sent in fungal isolator tubes</w:t>
      </w:r>
    </w:p>
    <w:p w14:paraId="17F75C62" w14:textId="77777777" w:rsidR="008B45F2" w:rsidRPr="00064528" w:rsidRDefault="008B45F2" w:rsidP="008B45F2">
      <w:pPr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Consider empiric antifungal coverage:</w:t>
      </w:r>
    </w:p>
    <w:p w14:paraId="079FDBE5" w14:textId="77777777" w:rsidR="008B45F2" w:rsidRPr="00064528" w:rsidRDefault="008B45F2" w:rsidP="008B45F2">
      <w:pPr>
        <w:numPr>
          <w:ilvl w:val="2"/>
          <w:numId w:val="9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start </w:t>
      </w:r>
      <w:r w:rsidRPr="00064528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liposomal amphotericin at 3 mg/kg/day</w:t>
      </w:r>
    </w:p>
    <w:p w14:paraId="1AC38DD3" w14:textId="77777777" w:rsidR="008B45F2" w:rsidRPr="00064528" w:rsidRDefault="008B45F2" w:rsidP="008B45F2">
      <w:pPr>
        <w:numPr>
          <w:ilvl w:val="2"/>
          <w:numId w:val="9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can escalate to 5-6 mg/kg if proven fungal infection</w:t>
      </w:r>
    </w:p>
    <w:p w14:paraId="5B24A2E1" w14:textId="77777777" w:rsidR="008B45F2" w:rsidRPr="00064528" w:rsidRDefault="008B45F2" w:rsidP="008B45F2">
      <w:pPr>
        <w:numPr>
          <w:ilvl w:val="2"/>
          <w:numId w:val="10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i/>
          <w:iCs/>
          <w:sz w:val="22"/>
          <w:szCs w:val="22"/>
          <w:lang w:val="x-none" w:eastAsia="x-none"/>
        </w:rPr>
        <w:t>If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documented fungal infection known, should tailor antifungal coverage based on organism and sensitivities</w:t>
      </w:r>
    </w:p>
    <w:p w14:paraId="278979AA" w14:textId="77777777" w:rsidR="008B45F2" w:rsidRPr="00064528" w:rsidRDefault="008B45F2" w:rsidP="008B4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 </w:t>
      </w:r>
    </w:p>
    <w:p w14:paraId="600D461F" w14:textId="77777777" w:rsidR="008B45F2" w:rsidRPr="00064528" w:rsidRDefault="008B45F2" w:rsidP="008B4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4. O</w:t>
      </w:r>
      <w:r w:rsidRPr="00064528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ther non-bacterial cause for fever</w:t>
      </w:r>
    </w:p>
    <w:p w14:paraId="78480B85" w14:textId="77777777" w:rsidR="008B45F2" w:rsidRPr="00064528" w:rsidRDefault="008B45F2" w:rsidP="008B45F2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i/>
          <w:iCs/>
          <w:sz w:val="22"/>
          <w:szCs w:val="22"/>
          <w:lang w:val="x-none" w:eastAsia="x-none"/>
        </w:rPr>
        <w:t>If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a respiratory or enteric virus (i.e. RSV, influenza, etc.) is found as the presumptive source</w:t>
      </w:r>
    </w:p>
    <w:p w14:paraId="7EEEDB9B" w14:textId="77777777" w:rsidR="008B45F2" w:rsidRPr="00064528" w:rsidRDefault="008B45F2" w:rsidP="008B45F2">
      <w:pPr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would continue to treat with </w:t>
      </w:r>
      <w:r w:rsidRPr="00064528">
        <w:rPr>
          <w:rFonts w:ascii="Times New Roman" w:hAnsi="Times New Roman" w:cs="Times New Roman"/>
          <w:b/>
          <w:bCs/>
          <w:sz w:val="22"/>
          <w:szCs w:val="22"/>
          <w:lang w:val="x-none" w:eastAsia="x-none"/>
        </w:rPr>
        <w:t>cefepime monotherapy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until afebrile and no longer neutropenic.</w:t>
      </w:r>
    </w:p>
    <w:p w14:paraId="2C6BD7E6" w14:textId="77777777" w:rsidR="008B45F2" w:rsidRPr="00064528" w:rsidRDefault="008B45F2" w:rsidP="008B4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14:paraId="40465F82" w14:textId="77777777" w:rsidR="008B45F2" w:rsidRPr="00064528" w:rsidRDefault="008B45F2" w:rsidP="008B4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OVERALL:</w:t>
      </w:r>
    </w:p>
    <w:p w14:paraId="66CAC69B" w14:textId="77777777" w:rsidR="008B45F2" w:rsidRPr="00064528" w:rsidRDefault="008B45F2" w:rsidP="008B45F2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u w:val="single"/>
          <w:lang w:val="x-none" w:eastAsia="x-none"/>
        </w:rPr>
        <w:t>Continuous reassessment</w:t>
      </w: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based on repeat vital signs, repeat physical exam and assessment is essential to the proper care of this population.</w:t>
      </w:r>
    </w:p>
    <w:p w14:paraId="0C3213FC" w14:textId="77777777" w:rsidR="008B45F2" w:rsidRPr="00064528" w:rsidRDefault="008B45F2" w:rsidP="008B45F2">
      <w:pPr>
        <w:numPr>
          <w:ilvl w:val="1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>Sudden changes in clinical status could prompt equally sudden and urgent changes in antimicrobials or ongoing workup.</w:t>
      </w:r>
    </w:p>
    <w:p w14:paraId="78355EB2" w14:textId="77777777" w:rsidR="008B45F2" w:rsidRPr="00064528" w:rsidRDefault="008B45F2" w:rsidP="008B45F2">
      <w:pPr>
        <w:numPr>
          <w:ilvl w:val="1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064528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Delay in instituting such care due to delays in accurate patient assessment could lead to increased morbidity or mortality. </w:t>
      </w:r>
    </w:p>
    <w:p w14:paraId="327EBCB0" w14:textId="77777777" w:rsidR="008B45F2" w:rsidRPr="00064528" w:rsidRDefault="008B45F2" w:rsidP="008B45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14:paraId="431986AD" w14:textId="77777777" w:rsidR="008B45F2" w:rsidRDefault="008B45F2" w:rsidP="008B45F2"/>
    <w:p w14:paraId="4550736A" w14:textId="77777777" w:rsidR="008B45F2" w:rsidRDefault="008B45F2" w:rsidP="008B45F2"/>
    <w:p w14:paraId="54871F38" w14:textId="77777777" w:rsidR="006B791F" w:rsidRPr="008B45F2" w:rsidRDefault="006B791F" w:rsidP="008B45F2"/>
    <w:sectPr w:rsidR="006B791F" w:rsidRPr="008B4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000000"/>
        <w:sz w:val="22"/>
        <w:szCs w:val="22"/>
        <w:u w:val="none"/>
      </w:rPr>
    </w:lvl>
  </w:abstractNum>
  <w:num w:numId="1" w16cid:durableId="184682102">
    <w:abstractNumId w:val="0"/>
  </w:num>
  <w:num w:numId="2" w16cid:durableId="748623358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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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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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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"/>
        <w:lvlJc w:val="left"/>
        <w:pPr>
          <w:ind w:left="39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3" w16cid:durableId="1549146589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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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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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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"/>
        <w:lvlJc w:val="left"/>
        <w:pPr>
          <w:ind w:left="39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4" w16cid:durableId="26487938">
    <w:abstractNumId w:val="1"/>
  </w:num>
  <w:num w:numId="5" w16cid:durableId="275407943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singl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lowerLetter"/>
        <w:lvlText w:val="%6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39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6" w16cid:durableId="1393654943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lowerLetter"/>
        <w:lvlText w:val="%6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39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7" w16cid:durableId="1262834421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/>
          <w:iCs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43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8" w16cid:durableId="1122067097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43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9" w16cid:durableId="1603685838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43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10" w16cid:durableId="526875164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/>
          <w:iCs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43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EF"/>
    <w:rsid w:val="00225C61"/>
    <w:rsid w:val="006968EF"/>
    <w:rsid w:val="006B791F"/>
    <w:rsid w:val="00754614"/>
    <w:rsid w:val="008B45F2"/>
    <w:rsid w:val="00EA10E8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6C320B"/>
  <w15:chartTrackingRefBased/>
  <w15:docId w15:val="{FADAE619-2662-2844-A09D-42F11ED2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5817</Characters>
  <Application>Microsoft Office Word</Application>
  <DocSecurity>0</DocSecurity>
  <Lines>48</Lines>
  <Paragraphs>13</Paragraphs>
  <ScaleCrop>false</ScaleCrop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Nathan</dc:creator>
  <cp:keywords/>
  <dc:description/>
  <cp:lastModifiedBy>Redman, William</cp:lastModifiedBy>
  <cp:revision>2</cp:revision>
  <dcterms:created xsi:type="dcterms:W3CDTF">2023-10-19T14:57:00Z</dcterms:created>
  <dcterms:modified xsi:type="dcterms:W3CDTF">2023-10-19T14:57:00Z</dcterms:modified>
</cp:coreProperties>
</file>