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81" w:rsidRPr="004F42F7" w:rsidRDefault="004F42F7">
      <w:pPr>
        <w:rPr>
          <w:rFonts w:asciiTheme="majorHAnsi" w:hAnsiTheme="majorHAnsi" w:cs="Arial"/>
          <w:b/>
        </w:rPr>
      </w:pPr>
      <w:r w:rsidRPr="004F42F7">
        <w:rPr>
          <w:rFonts w:asciiTheme="majorHAnsi" w:hAnsiTheme="majorHAnsi" w:cs="Arial"/>
          <w:b/>
        </w:rPr>
        <w:t>Are Topical Non-Steroidals as E</w:t>
      </w:r>
      <w:r w:rsidR="009820C4" w:rsidRPr="004F42F7">
        <w:rPr>
          <w:rFonts w:asciiTheme="majorHAnsi" w:hAnsiTheme="majorHAnsi" w:cs="Arial"/>
          <w:b/>
        </w:rPr>
        <w:t>ffective as Topical Corticosteroids in the Treatment of Atopic Dermatitis?</w:t>
      </w:r>
    </w:p>
    <w:p w:rsidR="009820C4" w:rsidRPr="004F42F7" w:rsidRDefault="009820C4">
      <w:pPr>
        <w:rPr>
          <w:rFonts w:asciiTheme="majorHAnsi" w:hAnsiTheme="majorHAnsi" w:cs="Arial"/>
          <w:b/>
        </w:rPr>
      </w:pPr>
    </w:p>
    <w:p w:rsidR="009820C4" w:rsidRPr="0049409B" w:rsidRDefault="009820C4">
      <w:pPr>
        <w:rPr>
          <w:rFonts w:asciiTheme="majorHAnsi" w:hAnsiTheme="majorHAnsi" w:cs="Arial"/>
        </w:rPr>
      </w:pPr>
      <w:r w:rsidRPr="0049409B">
        <w:rPr>
          <w:rFonts w:asciiTheme="majorHAnsi" w:hAnsiTheme="majorHAnsi" w:cs="Arial"/>
        </w:rPr>
        <w:t>~Lauren Ng, DO</w:t>
      </w:r>
    </w:p>
    <w:p w:rsidR="009820C4" w:rsidRPr="0049409B" w:rsidRDefault="009820C4">
      <w:pPr>
        <w:rPr>
          <w:rFonts w:asciiTheme="majorHAnsi" w:hAnsiTheme="majorHAnsi" w:cs="Arial"/>
        </w:rPr>
      </w:pPr>
      <w:r w:rsidRPr="0049409B">
        <w:rPr>
          <w:rFonts w:asciiTheme="majorHAnsi" w:hAnsiTheme="majorHAnsi" w:cs="Arial"/>
        </w:rPr>
        <w:t>Stony Brook Children’s Hospital</w:t>
      </w:r>
    </w:p>
    <w:p w:rsidR="009820C4" w:rsidRPr="0049409B" w:rsidRDefault="009820C4">
      <w:pPr>
        <w:rPr>
          <w:rFonts w:asciiTheme="majorHAnsi" w:hAnsiTheme="majorHAnsi" w:cs="Arial"/>
        </w:rPr>
      </w:pPr>
    </w:p>
    <w:p w:rsidR="009820C4" w:rsidRPr="0049409B" w:rsidRDefault="009820C4">
      <w:pPr>
        <w:rPr>
          <w:rFonts w:asciiTheme="majorHAnsi" w:hAnsiTheme="majorHAnsi" w:cs="Arial"/>
          <w:b/>
        </w:rPr>
      </w:pPr>
      <w:r w:rsidRPr="0049409B">
        <w:rPr>
          <w:rFonts w:asciiTheme="majorHAnsi" w:hAnsiTheme="majorHAnsi" w:cs="Arial"/>
          <w:b/>
        </w:rPr>
        <w:t>Summary Statement:</w:t>
      </w:r>
    </w:p>
    <w:p w:rsidR="009820C4" w:rsidRPr="0049409B" w:rsidRDefault="009820C4">
      <w:pPr>
        <w:rPr>
          <w:rFonts w:asciiTheme="majorHAnsi" w:hAnsiTheme="majorHAnsi" w:cs="Arial"/>
        </w:rPr>
      </w:pPr>
    </w:p>
    <w:p w:rsidR="009820C4" w:rsidRPr="0049409B" w:rsidRDefault="009820C4" w:rsidP="009820C4">
      <w:pPr>
        <w:ind w:firstLine="720"/>
        <w:rPr>
          <w:rFonts w:asciiTheme="majorHAnsi" w:hAnsiTheme="majorHAnsi" w:cs="Arial"/>
        </w:rPr>
      </w:pPr>
      <w:r w:rsidRPr="0049409B">
        <w:rPr>
          <w:rFonts w:asciiTheme="majorHAnsi" w:hAnsiTheme="majorHAnsi" w:cs="Arial"/>
        </w:rPr>
        <w:t>Topical corticosteroids are the standard of care in treating atopic dermatitis (AD) along with daily supportive care and application of moisturizers for generalized xerosis.   There is limited data on the usage of corticosteroids such as concentration, duration, frequency, and application</w:t>
      </w:r>
      <w:r w:rsidR="00B34820">
        <w:rPr>
          <w:rFonts w:asciiTheme="majorHAnsi" w:hAnsiTheme="majorHAnsi" w:cs="Arial"/>
        </w:rPr>
        <w:t xml:space="preserve"> (5)</w:t>
      </w:r>
      <w:r w:rsidRPr="0049409B">
        <w:rPr>
          <w:rFonts w:asciiTheme="majorHAnsi" w:hAnsiTheme="majorHAnsi" w:cs="Arial"/>
        </w:rPr>
        <w:t xml:space="preserve">.  However, the current established treatment of AD is </w:t>
      </w:r>
      <w:r w:rsidR="00C74F54">
        <w:rPr>
          <w:rFonts w:asciiTheme="majorHAnsi" w:hAnsiTheme="majorHAnsi" w:cs="Arial"/>
        </w:rPr>
        <w:t xml:space="preserve">using a </w:t>
      </w:r>
      <w:r w:rsidRPr="0049409B">
        <w:rPr>
          <w:rFonts w:asciiTheme="majorHAnsi" w:hAnsiTheme="majorHAnsi" w:cs="Arial"/>
        </w:rPr>
        <w:t>topical corticosteroid for a short period until lesions are cleared, usually not e</w:t>
      </w:r>
      <w:r w:rsidR="00B34820">
        <w:rPr>
          <w:rFonts w:asciiTheme="majorHAnsi" w:hAnsiTheme="majorHAnsi" w:cs="Arial"/>
        </w:rPr>
        <w:t xml:space="preserve">xceeding two weeks of therapy (2). </w:t>
      </w:r>
      <w:r w:rsidR="00C74F54">
        <w:rPr>
          <w:rFonts w:asciiTheme="majorHAnsi" w:hAnsiTheme="majorHAnsi" w:cs="Arial"/>
        </w:rPr>
        <w:t xml:space="preserve"> </w:t>
      </w:r>
      <w:r w:rsidRPr="0049409B">
        <w:rPr>
          <w:rFonts w:asciiTheme="majorHAnsi" w:hAnsiTheme="majorHAnsi" w:cs="Arial"/>
        </w:rPr>
        <w:t xml:space="preserve">The cutaneous side effects of corticosteroids include atrophy of the skin, telangiectasias, skin pigment changes and striae.  The non- cutaneous side effects of topical corticosteroids are reduction in linear growth in children, decreased bone density in adults and </w:t>
      </w:r>
      <w:r w:rsidR="00324578">
        <w:rPr>
          <w:rFonts w:asciiTheme="majorHAnsi" w:hAnsiTheme="majorHAnsi" w:cs="Arial"/>
        </w:rPr>
        <w:t xml:space="preserve">potential </w:t>
      </w:r>
      <w:r w:rsidRPr="0049409B">
        <w:rPr>
          <w:rFonts w:asciiTheme="majorHAnsi" w:hAnsiTheme="majorHAnsi" w:cs="Arial"/>
        </w:rPr>
        <w:t>suppression of the hypothalamic pituitary axis.  In children, topical corticosteroids are used with caution secondary to these side effects and potential long</w:t>
      </w:r>
      <w:r w:rsidR="003A38A5" w:rsidRPr="0049409B">
        <w:rPr>
          <w:rFonts w:asciiTheme="majorHAnsi" w:hAnsiTheme="majorHAnsi" w:cs="Arial"/>
        </w:rPr>
        <w:t>-</w:t>
      </w:r>
      <w:r w:rsidRPr="0049409B">
        <w:rPr>
          <w:rFonts w:asciiTheme="majorHAnsi" w:hAnsiTheme="majorHAnsi" w:cs="Arial"/>
        </w:rPr>
        <w:t xml:space="preserve"> term effects.</w:t>
      </w:r>
    </w:p>
    <w:p w:rsidR="009820C4" w:rsidRPr="0049409B" w:rsidRDefault="009820C4">
      <w:pPr>
        <w:rPr>
          <w:rFonts w:asciiTheme="majorHAnsi" w:hAnsiTheme="majorHAnsi" w:cs="Arial"/>
        </w:rPr>
      </w:pPr>
    </w:p>
    <w:p w:rsidR="004A5036" w:rsidRDefault="003A38A5" w:rsidP="0085721F">
      <w:pPr>
        <w:ind w:firstLine="720"/>
        <w:rPr>
          <w:rFonts w:asciiTheme="majorHAnsi" w:hAnsiTheme="majorHAnsi" w:cs="Arial"/>
        </w:rPr>
      </w:pPr>
      <w:r w:rsidRPr="0049409B">
        <w:rPr>
          <w:rFonts w:asciiTheme="majorHAnsi" w:hAnsiTheme="majorHAnsi" w:cs="Arial"/>
        </w:rPr>
        <w:t>The alternative topical non- steroidal treatments of AD include topical calcineurin inhibitors and new skin barrier repair creams.   The topical calcineuriin inhibitors</w:t>
      </w:r>
      <w:r w:rsidR="00C74F54">
        <w:rPr>
          <w:rFonts w:asciiTheme="majorHAnsi" w:hAnsiTheme="majorHAnsi" w:cs="Arial"/>
        </w:rPr>
        <w:t>, Tacrolimus and Pimecrolimus,</w:t>
      </w:r>
      <w:r w:rsidRPr="0049409B">
        <w:rPr>
          <w:rFonts w:asciiTheme="majorHAnsi" w:hAnsiTheme="majorHAnsi" w:cs="Arial"/>
        </w:rPr>
        <w:t xml:space="preserve"> are immunosuppressants that hav</w:t>
      </w:r>
      <w:r w:rsidR="00C74F54">
        <w:rPr>
          <w:rFonts w:asciiTheme="majorHAnsi" w:hAnsiTheme="majorHAnsi" w:cs="Arial"/>
        </w:rPr>
        <w:t xml:space="preserve">e anti-inflammatory properties.  </w:t>
      </w:r>
      <w:r w:rsidR="0049409B">
        <w:rPr>
          <w:rFonts w:asciiTheme="majorHAnsi" w:hAnsiTheme="majorHAnsi" w:cs="Arial"/>
        </w:rPr>
        <w:t>These calcineurin inhibitors are well studied in comparison to topical corticosteroids</w:t>
      </w:r>
      <w:r w:rsidR="00324578">
        <w:rPr>
          <w:rFonts w:asciiTheme="majorHAnsi" w:hAnsiTheme="majorHAnsi" w:cs="Arial"/>
        </w:rPr>
        <w:t xml:space="preserve"> since their devel</w:t>
      </w:r>
      <w:r w:rsidR="00C74F54">
        <w:rPr>
          <w:rFonts w:asciiTheme="majorHAnsi" w:hAnsiTheme="majorHAnsi" w:cs="Arial"/>
        </w:rPr>
        <w:t>o</w:t>
      </w:r>
      <w:r w:rsidR="00324578">
        <w:rPr>
          <w:rFonts w:asciiTheme="majorHAnsi" w:hAnsiTheme="majorHAnsi" w:cs="Arial"/>
        </w:rPr>
        <w:t>pment</w:t>
      </w:r>
      <w:r w:rsidR="0049409B">
        <w:rPr>
          <w:rFonts w:asciiTheme="majorHAnsi" w:hAnsiTheme="majorHAnsi" w:cs="Arial"/>
        </w:rPr>
        <w:t xml:space="preserve">.  </w:t>
      </w:r>
      <w:r w:rsidRPr="0049409B">
        <w:rPr>
          <w:rFonts w:asciiTheme="majorHAnsi" w:hAnsiTheme="majorHAnsi" w:cs="Arial"/>
        </w:rPr>
        <w:t>The</w:t>
      </w:r>
      <w:r w:rsidR="0049409B">
        <w:rPr>
          <w:rFonts w:asciiTheme="majorHAnsi" w:hAnsiTheme="majorHAnsi" w:cs="Arial"/>
        </w:rPr>
        <w:t xml:space="preserve"> newer</w:t>
      </w:r>
      <w:r w:rsidRPr="0049409B">
        <w:rPr>
          <w:rFonts w:asciiTheme="majorHAnsi" w:hAnsiTheme="majorHAnsi" w:cs="Arial"/>
        </w:rPr>
        <w:t xml:space="preserve"> skin barrier cre</w:t>
      </w:r>
      <w:r w:rsidR="00C74F54">
        <w:rPr>
          <w:rFonts w:asciiTheme="majorHAnsi" w:hAnsiTheme="majorHAnsi" w:cs="Arial"/>
        </w:rPr>
        <w:t xml:space="preserve">ams include Atopiclair (contains </w:t>
      </w:r>
      <w:r w:rsidRPr="0049409B">
        <w:rPr>
          <w:rFonts w:asciiTheme="majorHAnsi" w:hAnsiTheme="majorHAnsi" w:cs="Arial"/>
          <w:color w:val="0E0E0E"/>
        </w:rPr>
        <w:t>hyaluronic acid, telmesteine, Vitis vinifera, and glycyrrhetinic acid)</w:t>
      </w:r>
      <w:r w:rsidR="00C74F54">
        <w:rPr>
          <w:rFonts w:asciiTheme="majorHAnsi" w:hAnsiTheme="majorHAnsi" w:cs="Arial"/>
        </w:rPr>
        <w:t xml:space="preserve">, EpiCeram (contains </w:t>
      </w:r>
      <w:r w:rsidRPr="0049409B">
        <w:rPr>
          <w:rFonts w:asciiTheme="majorHAnsi" w:hAnsiTheme="majorHAnsi" w:cs="Arial"/>
        </w:rPr>
        <w:t xml:space="preserve">ceramides, free fatty </w:t>
      </w:r>
      <w:r w:rsidR="00324578">
        <w:rPr>
          <w:rFonts w:asciiTheme="majorHAnsi" w:hAnsiTheme="majorHAnsi" w:cs="Arial"/>
        </w:rPr>
        <w:t>acids and cholesterol), and MiMy</w:t>
      </w:r>
      <w:r w:rsidR="00C74F54">
        <w:rPr>
          <w:rFonts w:asciiTheme="majorHAnsi" w:hAnsiTheme="majorHAnsi" w:cs="Arial"/>
        </w:rPr>
        <w:t>x (contains</w:t>
      </w:r>
      <w:r w:rsidRPr="0049409B">
        <w:rPr>
          <w:rFonts w:asciiTheme="majorHAnsi" w:hAnsiTheme="majorHAnsi" w:cs="Arial"/>
        </w:rPr>
        <w:t xml:space="preserve"> N-palmytoylethanolamine).</w:t>
      </w:r>
      <w:r w:rsidR="0049409B">
        <w:rPr>
          <w:rFonts w:asciiTheme="majorHAnsi" w:hAnsiTheme="majorHAnsi" w:cs="Arial"/>
        </w:rPr>
        <w:t xml:space="preserve">  Currently, there is not much data of these new skin barrier creams as compared to the </w:t>
      </w:r>
      <w:r w:rsidR="00C74F54">
        <w:rPr>
          <w:rFonts w:asciiTheme="majorHAnsi" w:hAnsiTheme="majorHAnsi" w:cs="Arial"/>
        </w:rPr>
        <w:t>topical steroids.</w:t>
      </w:r>
    </w:p>
    <w:p w:rsidR="004A5036" w:rsidRDefault="004A5036" w:rsidP="004A5036">
      <w:pPr>
        <w:rPr>
          <w:rFonts w:asciiTheme="majorHAnsi" w:hAnsiTheme="majorHAnsi" w:cs="Arial"/>
        </w:rPr>
      </w:pPr>
    </w:p>
    <w:p w:rsidR="0085721F" w:rsidRPr="0085721F" w:rsidRDefault="0049409B" w:rsidP="004A5036">
      <w:pPr>
        <w:ind w:firstLine="720"/>
        <w:rPr>
          <w:rFonts w:asciiTheme="majorHAnsi" w:hAnsiTheme="majorHAnsi" w:cs="Arial"/>
        </w:rPr>
      </w:pPr>
      <w:r>
        <w:rPr>
          <w:rFonts w:asciiTheme="majorHAnsi" w:hAnsiTheme="majorHAnsi" w:cs="Arial"/>
        </w:rPr>
        <w:t>Relevant studies</w:t>
      </w:r>
      <w:r w:rsidR="004A5036">
        <w:rPr>
          <w:rFonts w:asciiTheme="majorHAnsi" w:hAnsiTheme="majorHAnsi" w:cs="Arial"/>
        </w:rPr>
        <w:t xml:space="preserve"> for these alternative therapies</w:t>
      </w:r>
      <w:r>
        <w:rPr>
          <w:rFonts w:asciiTheme="majorHAnsi" w:hAnsiTheme="majorHAnsi" w:cs="Arial"/>
        </w:rPr>
        <w:t xml:space="preserve"> were identified from PubMed </w:t>
      </w:r>
      <w:r w:rsidR="0085721F">
        <w:rPr>
          <w:rFonts w:asciiTheme="majorHAnsi" w:hAnsiTheme="majorHAnsi" w:cs="Arial"/>
        </w:rPr>
        <w:t>using Mesh terms “atopic dermatitis” and “topical steroids” and “topical non- steroidal drugs.”  Search was further refined using Mesh terms “steroids” and “atopic dermatitis” and “</w:t>
      </w:r>
      <w:r w:rsidR="0085721F" w:rsidRPr="0085721F">
        <w:rPr>
          <w:rFonts w:asciiTheme="majorHAnsi" w:hAnsiTheme="majorHAnsi" w:cs="Arial"/>
        </w:rPr>
        <w:t>Atopiclair</w:t>
      </w:r>
      <w:r w:rsidR="0085721F">
        <w:rPr>
          <w:rFonts w:asciiTheme="majorHAnsi" w:hAnsiTheme="majorHAnsi" w:cs="Arial"/>
        </w:rPr>
        <w:t>” or</w:t>
      </w:r>
      <w:r w:rsidR="0085721F" w:rsidRPr="0085721F">
        <w:rPr>
          <w:rFonts w:asciiTheme="majorHAnsi" w:hAnsiTheme="majorHAnsi" w:cs="Arial"/>
        </w:rPr>
        <w:t xml:space="preserve"> </w:t>
      </w:r>
      <w:r w:rsidR="0085721F">
        <w:rPr>
          <w:rFonts w:asciiTheme="majorHAnsi" w:hAnsiTheme="majorHAnsi" w:cs="Arial"/>
        </w:rPr>
        <w:t>“</w:t>
      </w:r>
      <w:r w:rsidR="0085721F" w:rsidRPr="0085721F">
        <w:rPr>
          <w:rFonts w:asciiTheme="majorHAnsi" w:hAnsiTheme="majorHAnsi" w:cs="Arial"/>
        </w:rPr>
        <w:t>epiceram</w:t>
      </w:r>
      <w:r w:rsidR="0085721F">
        <w:rPr>
          <w:rFonts w:asciiTheme="majorHAnsi" w:hAnsiTheme="majorHAnsi" w:cs="Arial"/>
        </w:rPr>
        <w:t>” or</w:t>
      </w:r>
      <w:r w:rsidR="0085721F" w:rsidRPr="0085721F">
        <w:rPr>
          <w:rFonts w:asciiTheme="majorHAnsi" w:hAnsiTheme="majorHAnsi" w:cs="Arial"/>
        </w:rPr>
        <w:t xml:space="preserve"> </w:t>
      </w:r>
      <w:r w:rsidR="0085721F">
        <w:rPr>
          <w:rFonts w:asciiTheme="majorHAnsi" w:hAnsiTheme="majorHAnsi" w:cs="Arial"/>
        </w:rPr>
        <w:t>“</w:t>
      </w:r>
      <w:r w:rsidR="0085721F" w:rsidRPr="0085721F">
        <w:rPr>
          <w:rFonts w:asciiTheme="majorHAnsi" w:hAnsiTheme="majorHAnsi" w:cs="Arial"/>
        </w:rPr>
        <w:t>triple a lipid barrier</w:t>
      </w:r>
      <w:r w:rsidR="0085721F">
        <w:rPr>
          <w:rFonts w:asciiTheme="majorHAnsi" w:hAnsiTheme="majorHAnsi" w:cs="Arial"/>
        </w:rPr>
        <w:t>”</w:t>
      </w:r>
      <w:r w:rsidR="0085721F" w:rsidRPr="0085721F">
        <w:rPr>
          <w:rFonts w:asciiTheme="majorHAnsi" w:hAnsiTheme="majorHAnsi" w:cs="Arial"/>
        </w:rPr>
        <w:t xml:space="preserve"> </w:t>
      </w:r>
      <w:r w:rsidR="0085721F">
        <w:rPr>
          <w:rFonts w:asciiTheme="majorHAnsi" w:hAnsiTheme="majorHAnsi" w:cs="Arial"/>
        </w:rPr>
        <w:t>“</w:t>
      </w:r>
      <w:r w:rsidR="0085721F" w:rsidRPr="0085721F">
        <w:rPr>
          <w:rFonts w:asciiTheme="majorHAnsi" w:hAnsiTheme="majorHAnsi" w:cs="Arial"/>
        </w:rPr>
        <w:t>zarzenda</w:t>
      </w:r>
      <w:r w:rsidR="0085721F">
        <w:rPr>
          <w:rFonts w:asciiTheme="majorHAnsi" w:hAnsiTheme="majorHAnsi" w:cs="Arial"/>
        </w:rPr>
        <w:t>” or</w:t>
      </w:r>
      <w:r w:rsidR="0085721F" w:rsidRPr="0085721F">
        <w:rPr>
          <w:rFonts w:asciiTheme="majorHAnsi" w:hAnsiTheme="majorHAnsi" w:cs="Arial"/>
        </w:rPr>
        <w:t xml:space="preserve"> </w:t>
      </w:r>
      <w:r w:rsidR="0085721F">
        <w:rPr>
          <w:rFonts w:asciiTheme="majorHAnsi" w:hAnsiTheme="majorHAnsi" w:cs="Arial"/>
        </w:rPr>
        <w:t>“</w:t>
      </w:r>
      <w:r w:rsidR="0085721F" w:rsidRPr="0085721F">
        <w:rPr>
          <w:rFonts w:asciiTheme="majorHAnsi" w:hAnsiTheme="majorHAnsi" w:cs="Arial"/>
        </w:rPr>
        <w:t>anti-inflammatory agents, non-steroidal</w:t>
      </w:r>
      <w:r w:rsidR="0085721F">
        <w:rPr>
          <w:rFonts w:asciiTheme="majorHAnsi" w:hAnsiTheme="majorHAnsi" w:cs="Arial"/>
        </w:rPr>
        <w:t>” or</w:t>
      </w:r>
      <w:r w:rsidR="0085721F" w:rsidRPr="0085721F">
        <w:rPr>
          <w:rFonts w:asciiTheme="majorHAnsi" w:hAnsiTheme="majorHAnsi" w:cs="Arial"/>
        </w:rPr>
        <w:t xml:space="preserve"> </w:t>
      </w:r>
      <w:r w:rsidR="0085721F">
        <w:rPr>
          <w:rFonts w:asciiTheme="majorHAnsi" w:hAnsiTheme="majorHAnsi" w:cs="Arial"/>
        </w:rPr>
        <w:t>“</w:t>
      </w:r>
      <w:r w:rsidR="0085721F" w:rsidRPr="0085721F">
        <w:rPr>
          <w:rFonts w:asciiTheme="majorHAnsi" w:hAnsiTheme="majorHAnsi" w:cs="Arial"/>
        </w:rPr>
        <w:t>calcineurin inhibitors</w:t>
      </w:r>
      <w:r w:rsidR="0085721F">
        <w:rPr>
          <w:rFonts w:asciiTheme="majorHAnsi" w:hAnsiTheme="majorHAnsi" w:cs="Arial"/>
        </w:rPr>
        <w:t>” or “N- palmy</w:t>
      </w:r>
      <w:r w:rsidR="0085721F" w:rsidRPr="0085721F">
        <w:rPr>
          <w:rFonts w:asciiTheme="majorHAnsi" w:hAnsiTheme="majorHAnsi" w:cs="Arial"/>
        </w:rPr>
        <w:t>toy</w:t>
      </w:r>
      <w:r w:rsidR="0085721F">
        <w:rPr>
          <w:rFonts w:asciiTheme="majorHAnsi" w:hAnsiTheme="majorHAnsi" w:cs="Arial"/>
        </w:rPr>
        <w:t>l</w:t>
      </w:r>
      <w:r w:rsidR="0085721F" w:rsidRPr="0085721F">
        <w:rPr>
          <w:rFonts w:asciiTheme="majorHAnsi" w:hAnsiTheme="majorHAnsi" w:cs="Arial"/>
        </w:rPr>
        <w:t>ethanolamide</w:t>
      </w:r>
      <w:r w:rsidR="0085721F">
        <w:rPr>
          <w:rFonts w:asciiTheme="majorHAnsi" w:hAnsiTheme="majorHAnsi" w:cs="Arial"/>
        </w:rPr>
        <w:t>” or “</w:t>
      </w:r>
      <w:r w:rsidR="0085721F" w:rsidRPr="0085721F">
        <w:rPr>
          <w:rFonts w:asciiTheme="majorHAnsi" w:hAnsiTheme="majorHAnsi" w:cs="Arial"/>
        </w:rPr>
        <w:t>lamellar matrix</w:t>
      </w:r>
      <w:r w:rsidR="0085721F">
        <w:rPr>
          <w:rFonts w:asciiTheme="majorHAnsi" w:hAnsiTheme="majorHAnsi" w:cs="Arial"/>
        </w:rPr>
        <w:t xml:space="preserve">.”  The validity of studies </w:t>
      </w:r>
      <w:r w:rsidR="00B34820">
        <w:rPr>
          <w:rFonts w:asciiTheme="majorHAnsi" w:hAnsiTheme="majorHAnsi" w:cs="Arial"/>
        </w:rPr>
        <w:t>was</w:t>
      </w:r>
      <w:r w:rsidR="0085721F">
        <w:rPr>
          <w:rFonts w:asciiTheme="majorHAnsi" w:hAnsiTheme="majorHAnsi" w:cs="Arial"/>
        </w:rPr>
        <w:t xml:space="preserve"> assessed according to randomization, blinding, complete follow-up of subjects and intention to treat.</w:t>
      </w:r>
    </w:p>
    <w:p w:rsidR="009820C4" w:rsidRPr="00324578" w:rsidRDefault="009820C4">
      <w:pPr>
        <w:rPr>
          <w:rFonts w:asciiTheme="majorHAnsi" w:hAnsiTheme="majorHAnsi" w:cs="Arial"/>
          <w:b/>
        </w:rPr>
      </w:pPr>
    </w:p>
    <w:p w:rsidR="009820C4" w:rsidRPr="00324578" w:rsidRDefault="009820C4">
      <w:pPr>
        <w:rPr>
          <w:rFonts w:asciiTheme="majorHAnsi" w:hAnsiTheme="majorHAnsi" w:cs="Arial"/>
          <w:b/>
        </w:rPr>
      </w:pPr>
      <w:r w:rsidRPr="00324578">
        <w:rPr>
          <w:rFonts w:asciiTheme="majorHAnsi" w:hAnsiTheme="majorHAnsi" w:cs="Arial"/>
          <w:b/>
        </w:rPr>
        <w:t>Clinical Bottom Line:</w:t>
      </w:r>
    </w:p>
    <w:p w:rsidR="00324578" w:rsidRDefault="00324578">
      <w:pPr>
        <w:rPr>
          <w:rFonts w:asciiTheme="majorHAnsi" w:hAnsiTheme="majorHAnsi" w:cs="Arial"/>
        </w:rPr>
      </w:pPr>
    </w:p>
    <w:p w:rsidR="00B34820" w:rsidRDefault="00B34820">
      <w:pPr>
        <w:rPr>
          <w:rFonts w:asciiTheme="majorHAnsi" w:hAnsiTheme="majorHAnsi" w:cs="Arial"/>
        </w:rPr>
      </w:pPr>
      <w:r>
        <w:rPr>
          <w:rFonts w:asciiTheme="majorHAnsi" w:hAnsiTheme="majorHAnsi" w:cs="Arial"/>
        </w:rPr>
        <w:tab/>
        <w:t xml:space="preserve">Topical corticosteroids continue to remain the mainstay treatment for AD.  There is some evidence that a provider may consider topical </w:t>
      </w:r>
      <w:r w:rsidRPr="00B34820">
        <w:rPr>
          <w:rFonts w:asciiTheme="majorHAnsi" w:hAnsiTheme="majorHAnsi" w:cs="Arial"/>
        </w:rPr>
        <w:t>non-steroida</w:t>
      </w:r>
      <w:r>
        <w:rPr>
          <w:rFonts w:asciiTheme="majorHAnsi" w:hAnsiTheme="majorHAnsi" w:cs="Arial"/>
        </w:rPr>
        <w:t>l alternatives</w:t>
      </w:r>
      <w:r w:rsidR="00BB7D99">
        <w:rPr>
          <w:rFonts w:asciiTheme="majorHAnsi" w:hAnsiTheme="majorHAnsi" w:cs="Arial"/>
        </w:rPr>
        <w:t>, such as the topical calcineurin inhibitors,</w:t>
      </w:r>
      <w:r w:rsidR="000856BA">
        <w:rPr>
          <w:rFonts w:asciiTheme="majorHAnsi" w:hAnsiTheme="majorHAnsi" w:cs="Arial"/>
        </w:rPr>
        <w:t xml:space="preserve"> for </w:t>
      </w:r>
      <w:r>
        <w:rPr>
          <w:rFonts w:asciiTheme="majorHAnsi" w:hAnsiTheme="majorHAnsi" w:cs="Arial"/>
        </w:rPr>
        <w:t xml:space="preserve">patients </w:t>
      </w:r>
      <w:r w:rsidR="000856BA">
        <w:rPr>
          <w:rFonts w:asciiTheme="majorHAnsi" w:hAnsiTheme="majorHAnsi" w:cs="Arial"/>
        </w:rPr>
        <w:t>with</w:t>
      </w:r>
      <w:r>
        <w:rPr>
          <w:rFonts w:asciiTheme="majorHAnsi" w:hAnsiTheme="majorHAnsi" w:cs="Arial"/>
        </w:rPr>
        <w:t xml:space="preserve"> increased</w:t>
      </w:r>
      <w:r w:rsidRPr="00B34820">
        <w:rPr>
          <w:rFonts w:asciiTheme="majorHAnsi" w:hAnsiTheme="majorHAnsi" w:cs="Arial"/>
        </w:rPr>
        <w:t xml:space="preserve"> frequency of flares or</w:t>
      </w:r>
      <w:r w:rsidR="000856BA">
        <w:rPr>
          <w:rFonts w:asciiTheme="majorHAnsi" w:hAnsiTheme="majorHAnsi" w:cs="Arial"/>
        </w:rPr>
        <w:t xml:space="preserve"> who</w:t>
      </w:r>
      <w:r w:rsidRPr="00B34820">
        <w:rPr>
          <w:rFonts w:asciiTheme="majorHAnsi" w:hAnsiTheme="majorHAnsi" w:cs="Arial"/>
        </w:rPr>
        <w:t xml:space="preserve"> are refractory to</w:t>
      </w:r>
      <w:r>
        <w:rPr>
          <w:rFonts w:asciiTheme="majorHAnsi" w:hAnsiTheme="majorHAnsi" w:cs="Arial"/>
        </w:rPr>
        <w:t xml:space="preserve"> corticosteroid therapy.  However, the cost of </w:t>
      </w:r>
      <w:r w:rsidR="00BB7D99">
        <w:rPr>
          <w:rFonts w:asciiTheme="majorHAnsi" w:hAnsiTheme="majorHAnsi" w:cs="Arial"/>
        </w:rPr>
        <w:t xml:space="preserve">these </w:t>
      </w:r>
      <w:r>
        <w:rPr>
          <w:rFonts w:asciiTheme="majorHAnsi" w:hAnsiTheme="majorHAnsi" w:cs="Arial"/>
        </w:rPr>
        <w:t xml:space="preserve">topical non-steroidals may outweigh the benefits and the </w:t>
      </w:r>
      <w:r w:rsidR="00324578">
        <w:rPr>
          <w:rFonts w:asciiTheme="majorHAnsi" w:hAnsiTheme="majorHAnsi" w:cs="Arial"/>
        </w:rPr>
        <w:t>side effect profile</w:t>
      </w:r>
      <w:r>
        <w:rPr>
          <w:rFonts w:asciiTheme="majorHAnsi" w:hAnsiTheme="majorHAnsi" w:cs="Arial"/>
        </w:rPr>
        <w:t xml:space="preserve"> as well as the lo</w:t>
      </w:r>
      <w:r w:rsidR="00324578">
        <w:rPr>
          <w:rFonts w:asciiTheme="majorHAnsi" w:hAnsiTheme="majorHAnsi" w:cs="Arial"/>
        </w:rPr>
        <w:t xml:space="preserve">ng- </w:t>
      </w:r>
      <w:r>
        <w:rPr>
          <w:rFonts w:asciiTheme="majorHAnsi" w:hAnsiTheme="majorHAnsi" w:cs="Arial"/>
        </w:rPr>
        <w:t>term effects of these newer drugs remain unknown.</w:t>
      </w:r>
      <w:r w:rsidR="00BB7D99">
        <w:rPr>
          <w:rFonts w:asciiTheme="majorHAnsi" w:hAnsiTheme="majorHAnsi" w:cs="Arial"/>
        </w:rPr>
        <w:t xml:space="preserve">  There is potential consideration for using the new skin barrier creams as a maintenance therapy for AD, but the </w:t>
      </w:r>
      <w:r w:rsidR="00C74F54">
        <w:rPr>
          <w:rFonts w:asciiTheme="majorHAnsi" w:hAnsiTheme="majorHAnsi" w:cs="Arial"/>
        </w:rPr>
        <w:t xml:space="preserve">current </w:t>
      </w:r>
      <w:r w:rsidR="00BB7D99">
        <w:rPr>
          <w:rFonts w:asciiTheme="majorHAnsi" w:hAnsiTheme="majorHAnsi" w:cs="Arial"/>
        </w:rPr>
        <w:t>cost may deter the patient population.</w:t>
      </w:r>
    </w:p>
    <w:p w:rsidR="00B34820" w:rsidRDefault="00B34820">
      <w:pPr>
        <w:rPr>
          <w:rFonts w:asciiTheme="majorHAnsi" w:hAnsiTheme="majorHAnsi" w:cs="Arial"/>
        </w:rPr>
      </w:pPr>
    </w:p>
    <w:p w:rsidR="00B34820" w:rsidRDefault="00324578" w:rsidP="00B34820">
      <w:pPr>
        <w:rPr>
          <w:rFonts w:asciiTheme="majorHAnsi" w:hAnsiTheme="majorHAnsi" w:cs="Arial"/>
        </w:rPr>
      </w:pPr>
      <w:r>
        <w:rPr>
          <w:rFonts w:asciiTheme="majorHAnsi" w:hAnsiTheme="majorHAnsi" w:cs="Arial"/>
        </w:rPr>
        <w:t xml:space="preserve">Further studies for the effectiveness of Atopiclair and MiMyx as compared to topical corticosteroids in treating AD has not yet been assessed.  Expansion of research is needed </w:t>
      </w:r>
      <w:r w:rsidR="001D00F1">
        <w:rPr>
          <w:rFonts w:asciiTheme="majorHAnsi" w:hAnsiTheme="majorHAnsi" w:cs="Arial"/>
        </w:rPr>
        <w:t>to look at</w:t>
      </w:r>
      <w:r>
        <w:rPr>
          <w:rFonts w:asciiTheme="majorHAnsi" w:hAnsiTheme="majorHAnsi" w:cs="Arial"/>
        </w:rPr>
        <w:t xml:space="preserve"> topical non-steroidals as a maintenance therapy in conjunction with topical corticosteroids</w:t>
      </w:r>
      <w:r w:rsidR="001D00F1">
        <w:rPr>
          <w:rFonts w:asciiTheme="majorHAnsi" w:hAnsiTheme="majorHAnsi" w:cs="Arial"/>
        </w:rPr>
        <w:t xml:space="preserve"> for acute flares.  Also, there currently is no research for </w:t>
      </w:r>
      <w:r>
        <w:rPr>
          <w:rFonts w:asciiTheme="majorHAnsi" w:hAnsiTheme="majorHAnsi" w:cs="Arial"/>
        </w:rPr>
        <w:t>the post- treatment rebound effects of theses topical non-steroidals.  As mentioned above, the safety profile and long-term effects of topical non- steroidals is also a topic of further research.</w:t>
      </w:r>
    </w:p>
    <w:p w:rsidR="007C190D" w:rsidRDefault="007C190D">
      <w:pPr>
        <w:rPr>
          <w:rFonts w:asciiTheme="majorHAnsi" w:hAnsiTheme="majorHAnsi" w:cs="Arial"/>
        </w:rPr>
        <w:sectPr w:rsidR="007C190D" w:rsidSect="007C190D">
          <w:footerReference w:type="even" r:id="rId7"/>
          <w:footerReference w:type="default" r:id="rId8"/>
          <w:pgSz w:w="12240" w:h="15840"/>
          <w:pgMar w:top="720" w:right="720" w:bottom="720" w:left="720" w:header="720" w:footer="720" w:gutter="0"/>
          <w:cols w:space="720"/>
          <w:docGrid w:linePitch="360"/>
        </w:sectPr>
      </w:pPr>
    </w:p>
    <w:p w:rsidR="000217AF" w:rsidRPr="004F42F7" w:rsidRDefault="000217AF" w:rsidP="000217AF">
      <w:pPr>
        <w:rPr>
          <w:rFonts w:asciiTheme="majorHAnsi" w:hAnsiTheme="majorHAnsi" w:cs="Arial"/>
          <w:b/>
        </w:rPr>
      </w:pPr>
      <w:r w:rsidRPr="004F42F7">
        <w:rPr>
          <w:rFonts w:asciiTheme="majorHAnsi" w:hAnsiTheme="majorHAnsi" w:cs="Arial"/>
          <w:b/>
        </w:rPr>
        <w:lastRenderedPageBreak/>
        <w:t>Are Topical Non-Steroidals as Effective as Topical Corticosteroids in the Treatment of Atopic Dermatitis?</w:t>
      </w:r>
    </w:p>
    <w:p w:rsidR="00324578" w:rsidRDefault="00324578">
      <w:pPr>
        <w:rPr>
          <w:rFonts w:asciiTheme="majorHAnsi" w:hAnsiTheme="majorHAnsi" w:cs="Arial"/>
        </w:rPr>
      </w:pPr>
    </w:p>
    <w:tbl>
      <w:tblPr>
        <w:tblStyle w:val="LightGrid"/>
        <w:tblW w:w="4932" w:type="pct"/>
        <w:tblLook w:val="04A0"/>
      </w:tblPr>
      <w:tblGrid>
        <w:gridCol w:w="1860"/>
        <w:gridCol w:w="6280"/>
        <w:gridCol w:w="6277"/>
      </w:tblGrid>
      <w:tr w:rsidR="007C190D" w:rsidTr="007C190D">
        <w:trPr>
          <w:cnfStyle w:val="100000000000"/>
        </w:trPr>
        <w:tc>
          <w:tcPr>
            <w:cnfStyle w:val="001000000000"/>
            <w:tcW w:w="645" w:type="pct"/>
          </w:tcPr>
          <w:p w:rsidR="007C190D" w:rsidRDefault="007C190D" w:rsidP="007C190D"/>
        </w:tc>
        <w:tc>
          <w:tcPr>
            <w:tcW w:w="2178" w:type="pct"/>
          </w:tcPr>
          <w:p w:rsidR="007C190D" w:rsidRDefault="007C190D" w:rsidP="007C190D">
            <w:pPr>
              <w:jc w:val="center"/>
              <w:cnfStyle w:val="100000000000"/>
            </w:pPr>
            <w:r>
              <w:t>Citation #1</w:t>
            </w:r>
          </w:p>
        </w:tc>
        <w:tc>
          <w:tcPr>
            <w:tcW w:w="2178" w:type="pct"/>
          </w:tcPr>
          <w:p w:rsidR="007C190D" w:rsidRDefault="007C190D" w:rsidP="007C190D">
            <w:pPr>
              <w:jc w:val="center"/>
              <w:cnfStyle w:val="100000000000"/>
            </w:pPr>
            <w:r>
              <w:t>Citation #2</w:t>
            </w:r>
          </w:p>
        </w:tc>
      </w:tr>
      <w:tr w:rsidR="007C190D" w:rsidTr="007C190D">
        <w:trPr>
          <w:cnfStyle w:val="000000100000"/>
          <w:trHeight w:val="459"/>
        </w:trPr>
        <w:tc>
          <w:tcPr>
            <w:cnfStyle w:val="001000000000"/>
            <w:tcW w:w="645" w:type="pct"/>
          </w:tcPr>
          <w:p w:rsidR="007C190D" w:rsidRDefault="007C190D" w:rsidP="007C190D">
            <w:r>
              <w:t>Reference</w:t>
            </w:r>
          </w:p>
        </w:tc>
        <w:tc>
          <w:tcPr>
            <w:tcW w:w="2178" w:type="pct"/>
          </w:tcPr>
          <w:p w:rsidR="007C190D" w:rsidRPr="0014399A" w:rsidRDefault="007C190D" w:rsidP="007C190D">
            <w:pPr>
              <w:cnfStyle w:val="000000100000"/>
              <w:rPr>
                <w:sz w:val="22"/>
                <w:szCs w:val="22"/>
              </w:rPr>
            </w:pPr>
            <w:r w:rsidRPr="0014399A">
              <w:rPr>
                <w:sz w:val="22"/>
                <w:szCs w:val="22"/>
              </w:rPr>
              <w:t xml:space="preserve">Sugarman JL and Parish LC.  Efficacy of lipid based barrier repair formulation in moderate to severe pediatric atopic dermatitis.  </w:t>
            </w:r>
            <w:r w:rsidRPr="0014399A">
              <w:rPr>
                <w:i/>
                <w:sz w:val="22"/>
                <w:szCs w:val="22"/>
              </w:rPr>
              <w:t>Journal of drugs and Dermatology</w:t>
            </w:r>
            <w:r w:rsidRPr="0014399A">
              <w:rPr>
                <w:sz w:val="22"/>
                <w:szCs w:val="22"/>
              </w:rPr>
              <w:t>, 2009; 8(12): 1106-1111.</w:t>
            </w:r>
          </w:p>
        </w:tc>
        <w:tc>
          <w:tcPr>
            <w:tcW w:w="2178" w:type="pct"/>
          </w:tcPr>
          <w:p w:rsidR="007C190D" w:rsidRPr="0014399A" w:rsidRDefault="007C190D" w:rsidP="007C190D">
            <w:pPr>
              <w:cnfStyle w:val="000000100000"/>
              <w:rPr>
                <w:sz w:val="22"/>
                <w:szCs w:val="22"/>
              </w:rPr>
            </w:pPr>
            <w:r w:rsidRPr="0014399A">
              <w:rPr>
                <w:sz w:val="22"/>
                <w:szCs w:val="22"/>
              </w:rPr>
              <w:t xml:space="preserve">Udompataikul M and Srisatwaja W.  Comparative trial of moisturizer containing licochalcone A vs. hydrocortisone lotion in the treatment of childhood atopic dermatitis: a pilot study.  </w:t>
            </w:r>
            <w:r w:rsidRPr="0014399A">
              <w:rPr>
                <w:i/>
                <w:sz w:val="22"/>
                <w:szCs w:val="22"/>
              </w:rPr>
              <w:t>Journal of the European Academy of Dermatology and Venereology</w:t>
            </w:r>
            <w:r w:rsidRPr="0014399A">
              <w:rPr>
                <w:sz w:val="22"/>
                <w:szCs w:val="22"/>
              </w:rPr>
              <w:t>, 2011; 25: 660-665.</w:t>
            </w:r>
          </w:p>
          <w:p w:rsidR="007C190D" w:rsidRPr="0014399A" w:rsidRDefault="007C190D" w:rsidP="007C190D">
            <w:pPr>
              <w:cnfStyle w:val="000000100000"/>
              <w:rPr>
                <w:sz w:val="22"/>
                <w:szCs w:val="22"/>
              </w:rPr>
            </w:pPr>
          </w:p>
        </w:tc>
      </w:tr>
      <w:tr w:rsidR="007C190D" w:rsidTr="007C190D">
        <w:trPr>
          <w:cnfStyle w:val="000000010000"/>
        </w:trPr>
        <w:tc>
          <w:tcPr>
            <w:cnfStyle w:val="001000000000"/>
            <w:tcW w:w="645" w:type="pct"/>
          </w:tcPr>
          <w:p w:rsidR="007C190D" w:rsidRDefault="007C190D" w:rsidP="007C190D">
            <w:r>
              <w:t>Study Question</w:t>
            </w:r>
          </w:p>
          <w:p w:rsidR="007C190D" w:rsidRDefault="007C190D" w:rsidP="007C190D"/>
        </w:tc>
        <w:tc>
          <w:tcPr>
            <w:tcW w:w="2178" w:type="pct"/>
          </w:tcPr>
          <w:p w:rsidR="007C190D" w:rsidRPr="0014399A" w:rsidRDefault="007C190D" w:rsidP="007C190D">
            <w:pPr>
              <w:cnfStyle w:val="000000010000"/>
              <w:rPr>
                <w:sz w:val="22"/>
                <w:szCs w:val="22"/>
              </w:rPr>
            </w:pPr>
            <w:r w:rsidRPr="0014399A">
              <w:rPr>
                <w:sz w:val="22"/>
                <w:szCs w:val="22"/>
              </w:rPr>
              <w:t>Is a lipid based barrier repair formulation/EpiCeram effective in treating moderate to severe pediatric atopic dermatitis?</w:t>
            </w:r>
          </w:p>
          <w:p w:rsidR="007C190D" w:rsidRPr="0014399A" w:rsidRDefault="007C190D" w:rsidP="007C190D">
            <w:pPr>
              <w:cnfStyle w:val="000000010000"/>
              <w:rPr>
                <w:sz w:val="22"/>
                <w:szCs w:val="22"/>
              </w:rPr>
            </w:pPr>
          </w:p>
        </w:tc>
        <w:tc>
          <w:tcPr>
            <w:tcW w:w="2178" w:type="pct"/>
          </w:tcPr>
          <w:p w:rsidR="007C190D" w:rsidRPr="0014399A" w:rsidRDefault="007C190D" w:rsidP="007C190D">
            <w:pPr>
              <w:cnfStyle w:val="000000010000"/>
              <w:rPr>
                <w:sz w:val="22"/>
                <w:szCs w:val="22"/>
              </w:rPr>
            </w:pPr>
            <w:r w:rsidRPr="0014399A">
              <w:rPr>
                <w:sz w:val="22"/>
                <w:szCs w:val="22"/>
              </w:rPr>
              <w:t>Is a moisturizer containing licochalcone A as effective as hydrocortisone lotion in the treatment of atopic dermatitis in children?</w:t>
            </w:r>
          </w:p>
        </w:tc>
      </w:tr>
      <w:tr w:rsidR="007C190D" w:rsidTr="007C190D">
        <w:trPr>
          <w:cnfStyle w:val="000000100000"/>
        </w:trPr>
        <w:tc>
          <w:tcPr>
            <w:cnfStyle w:val="001000000000"/>
            <w:tcW w:w="645" w:type="pct"/>
          </w:tcPr>
          <w:p w:rsidR="007C190D" w:rsidRDefault="007C190D" w:rsidP="007C190D">
            <w:r>
              <w:t>Study Design</w:t>
            </w:r>
          </w:p>
          <w:p w:rsidR="007C190D" w:rsidRDefault="007C190D" w:rsidP="007C190D"/>
        </w:tc>
        <w:tc>
          <w:tcPr>
            <w:tcW w:w="2178" w:type="pct"/>
          </w:tcPr>
          <w:p w:rsidR="007C190D" w:rsidRPr="0014399A" w:rsidRDefault="007C190D" w:rsidP="007C190D">
            <w:pPr>
              <w:cnfStyle w:val="000000100000"/>
              <w:rPr>
                <w:sz w:val="22"/>
                <w:szCs w:val="22"/>
              </w:rPr>
            </w:pPr>
            <w:r w:rsidRPr="0014399A">
              <w:rPr>
                <w:sz w:val="22"/>
                <w:szCs w:val="22"/>
              </w:rPr>
              <w:t>Randomized, investigator blinded comparative study</w:t>
            </w:r>
          </w:p>
        </w:tc>
        <w:tc>
          <w:tcPr>
            <w:tcW w:w="2178" w:type="pct"/>
          </w:tcPr>
          <w:p w:rsidR="007C190D" w:rsidRPr="0014399A" w:rsidRDefault="007C190D" w:rsidP="007C190D">
            <w:pPr>
              <w:cnfStyle w:val="000000100000"/>
              <w:rPr>
                <w:sz w:val="22"/>
                <w:szCs w:val="22"/>
              </w:rPr>
            </w:pPr>
            <w:r w:rsidRPr="0014399A">
              <w:rPr>
                <w:sz w:val="22"/>
                <w:szCs w:val="22"/>
              </w:rPr>
              <w:t>Randomized, blinded, case- control study</w:t>
            </w:r>
          </w:p>
        </w:tc>
      </w:tr>
      <w:tr w:rsidR="007C190D" w:rsidTr="007C190D">
        <w:trPr>
          <w:cnfStyle w:val="000000010000"/>
        </w:trPr>
        <w:tc>
          <w:tcPr>
            <w:cnfStyle w:val="001000000000"/>
            <w:tcW w:w="645" w:type="pct"/>
          </w:tcPr>
          <w:p w:rsidR="007C190D" w:rsidRDefault="007C190D" w:rsidP="007C190D">
            <w:r>
              <w:t>Validity</w:t>
            </w:r>
          </w:p>
          <w:p w:rsidR="007C190D" w:rsidRDefault="007C190D" w:rsidP="007C190D"/>
        </w:tc>
        <w:tc>
          <w:tcPr>
            <w:tcW w:w="2178" w:type="pct"/>
          </w:tcPr>
          <w:p w:rsidR="007C190D" w:rsidRPr="0014399A" w:rsidRDefault="007C190D" w:rsidP="007C190D">
            <w:pPr>
              <w:cnfStyle w:val="000000010000"/>
              <w:rPr>
                <w:sz w:val="22"/>
                <w:szCs w:val="22"/>
              </w:rPr>
            </w:pPr>
            <w:r>
              <w:rPr>
                <w:sz w:val="22"/>
                <w:szCs w:val="22"/>
              </w:rPr>
              <w:t>Yes</w:t>
            </w:r>
          </w:p>
        </w:tc>
        <w:tc>
          <w:tcPr>
            <w:tcW w:w="2178" w:type="pct"/>
          </w:tcPr>
          <w:p w:rsidR="007C190D" w:rsidRPr="0014399A" w:rsidRDefault="007C190D" w:rsidP="007C190D">
            <w:pPr>
              <w:cnfStyle w:val="000000010000"/>
              <w:rPr>
                <w:sz w:val="22"/>
                <w:szCs w:val="22"/>
              </w:rPr>
            </w:pPr>
            <w:r>
              <w:rPr>
                <w:sz w:val="22"/>
                <w:szCs w:val="22"/>
              </w:rPr>
              <w:t>+/-</w:t>
            </w:r>
          </w:p>
        </w:tc>
      </w:tr>
      <w:tr w:rsidR="007C190D" w:rsidTr="007C190D">
        <w:trPr>
          <w:cnfStyle w:val="000000100000"/>
        </w:trPr>
        <w:tc>
          <w:tcPr>
            <w:cnfStyle w:val="001000000000"/>
            <w:tcW w:w="645" w:type="pct"/>
          </w:tcPr>
          <w:p w:rsidR="007C190D" w:rsidRDefault="007C190D" w:rsidP="007C190D">
            <w:r>
              <w:t>Results</w:t>
            </w:r>
          </w:p>
          <w:p w:rsidR="007C190D" w:rsidRDefault="007C190D" w:rsidP="007C190D"/>
        </w:tc>
        <w:tc>
          <w:tcPr>
            <w:tcW w:w="2178" w:type="pct"/>
          </w:tcPr>
          <w:p w:rsidR="007C190D" w:rsidRPr="0014399A" w:rsidRDefault="007C190D" w:rsidP="007C190D">
            <w:pPr>
              <w:cnfStyle w:val="000000100000"/>
              <w:rPr>
                <w:sz w:val="22"/>
                <w:szCs w:val="22"/>
              </w:rPr>
            </w:pPr>
            <w:r>
              <w:rPr>
                <w:rFonts w:ascii="Cambria" w:hAnsi="Cambria"/>
                <w:sz w:val="22"/>
                <w:szCs w:val="22"/>
              </w:rPr>
              <w:t>Δ= 0.069, slight risk reduction</w:t>
            </w:r>
          </w:p>
        </w:tc>
        <w:tc>
          <w:tcPr>
            <w:tcW w:w="2178" w:type="pct"/>
          </w:tcPr>
          <w:p w:rsidR="007C190D" w:rsidRPr="0014399A" w:rsidRDefault="007C190D" w:rsidP="007C190D">
            <w:pPr>
              <w:cnfStyle w:val="000000100000"/>
              <w:rPr>
                <w:sz w:val="22"/>
                <w:szCs w:val="22"/>
              </w:rPr>
            </w:pPr>
            <w:r w:rsidRPr="0014399A">
              <w:rPr>
                <w:rFonts w:ascii="Cambria" w:hAnsi="Cambria"/>
                <w:sz w:val="22"/>
                <w:szCs w:val="22"/>
              </w:rPr>
              <w:t>Δ</w:t>
            </w:r>
            <w:r w:rsidRPr="0014399A">
              <w:rPr>
                <w:sz w:val="22"/>
                <w:szCs w:val="22"/>
              </w:rPr>
              <w:t>= -0.077</w:t>
            </w:r>
          </w:p>
          <w:p w:rsidR="007C190D" w:rsidRPr="0014399A" w:rsidRDefault="007C190D" w:rsidP="007C190D">
            <w:pPr>
              <w:cnfStyle w:val="000000100000"/>
              <w:rPr>
                <w:sz w:val="22"/>
                <w:szCs w:val="22"/>
              </w:rPr>
            </w:pPr>
            <w:r w:rsidRPr="0014399A">
              <w:rPr>
                <w:sz w:val="22"/>
                <w:szCs w:val="22"/>
              </w:rPr>
              <w:t>Hydrocortisone (HC) was superior to licochalcone A (LA) lotion</w:t>
            </w:r>
          </w:p>
          <w:p w:rsidR="007C190D" w:rsidRPr="0014399A" w:rsidRDefault="007C190D" w:rsidP="007C190D">
            <w:pPr>
              <w:cnfStyle w:val="000000100000"/>
              <w:rPr>
                <w:sz w:val="22"/>
                <w:szCs w:val="22"/>
              </w:rPr>
            </w:pPr>
          </w:p>
        </w:tc>
      </w:tr>
      <w:tr w:rsidR="007C190D" w:rsidTr="007C190D">
        <w:trPr>
          <w:cnfStyle w:val="000000010000"/>
        </w:trPr>
        <w:tc>
          <w:tcPr>
            <w:cnfStyle w:val="001000000000"/>
            <w:tcW w:w="645" w:type="pct"/>
          </w:tcPr>
          <w:p w:rsidR="007C190D" w:rsidRDefault="007C190D" w:rsidP="007C190D">
            <w:r>
              <w:t>Limitations</w:t>
            </w:r>
          </w:p>
          <w:p w:rsidR="007C190D" w:rsidRDefault="007C190D" w:rsidP="007C190D"/>
        </w:tc>
        <w:tc>
          <w:tcPr>
            <w:tcW w:w="2178" w:type="pct"/>
          </w:tcPr>
          <w:p w:rsidR="007C190D" w:rsidRPr="0014399A" w:rsidRDefault="007C190D" w:rsidP="007C190D">
            <w:pPr>
              <w:cnfStyle w:val="000000010000"/>
              <w:rPr>
                <w:sz w:val="22"/>
                <w:szCs w:val="22"/>
              </w:rPr>
            </w:pPr>
            <w:r>
              <w:rPr>
                <w:sz w:val="22"/>
                <w:szCs w:val="22"/>
              </w:rPr>
              <w:t>Some subjects used Fluticasone prior to the study, but not identified which group they were from</w:t>
            </w:r>
          </w:p>
        </w:tc>
        <w:tc>
          <w:tcPr>
            <w:tcW w:w="2178" w:type="pct"/>
          </w:tcPr>
          <w:p w:rsidR="007C190D" w:rsidRDefault="007C190D" w:rsidP="007C190D">
            <w:pPr>
              <w:cnfStyle w:val="000000010000"/>
              <w:rPr>
                <w:sz w:val="22"/>
                <w:szCs w:val="22"/>
              </w:rPr>
            </w:pPr>
            <w:r w:rsidRPr="0014399A">
              <w:rPr>
                <w:sz w:val="22"/>
                <w:szCs w:val="22"/>
              </w:rPr>
              <w:t xml:space="preserve">Small study </w:t>
            </w:r>
          </w:p>
          <w:p w:rsidR="007C190D" w:rsidRPr="0014399A" w:rsidRDefault="007C190D" w:rsidP="007C190D">
            <w:pPr>
              <w:cnfStyle w:val="000000010000"/>
              <w:rPr>
                <w:sz w:val="22"/>
                <w:szCs w:val="22"/>
              </w:rPr>
            </w:pPr>
          </w:p>
        </w:tc>
      </w:tr>
      <w:tr w:rsidR="007C190D" w:rsidTr="007C190D">
        <w:trPr>
          <w:cnfStyle w:val="000000100000"/>
        </w:trPr>
        <w:tc>
          <w:tcPr>
            <w:cnfStyle w:val="001000000000"/>
            <w:tcW w:w="645" w:type="pct"/>
          </w:tcPr>
          <w:p w:rsidR="007C190D" w:rsidRDefault="007C190D" w:rsidP="007C190D">
            <w:r>
              <w:t>Application</w:t>
            </w:r>
          </w:p>
          <w:p w:rsidR="007C190D" w:rsidRDefault="007C190D" w:rsidP="007C190D"/>
        </w:tc>
        <w:tc>
          <w:tcPr>
            <w:tcW w:w="2178" w:type="pct"/>
          </w:tcPr>
          <w:p w:rsidR="007C190D" w:rsidRPr="0014399A" w:rsidRDefault="007C190D" w:rsidP="007C190D">
            <w:pPr>
              <w:cnfStyle w:val="000000100000"/>
              <w:rPr>
                <w:sz w:val="22"/>
                <w:szCs w:val="22"/>
              </w:rPr>
            </w:pPr>
            <w:r w:rsidRPr="0014399A">
              <w:rPr>
                <w:sz w:val="22"/>
                <w:szCs w:val="22"/>
              </w:rPr>
              <w:t>Yes</w:t>
            </w:r>
          </w:p>
        </w:tc>
        <w:tc>
          <w:tcPr>
            <w:tcW w:w="2178" w:type="pct"/>
          </w:tcPr>
          <w:p w:rsidR="007C190D" w:rsidRPr="0014399A" w:rsidRDefault="007C190D" w:rsidP="007C190D">
            <w:pPr>
              <w:cnfStyle w:val="000000100000"/>
              <w:rPr>
                <w:sz w:val="22"/>
                <w:szCs w:val="22"/>
              </w:rPr>
            </w:pPr>
            <w:r w:rsidRPr="0014399A">
              <w:rPr>
                <w:sz w:val="22"/>
                <w:szCs w:val="22"/>
              </w:rPr>
              <w:t>Difficult to apply secondary to small sample size and unavailability of LA in the US.</w:t>
            </w:r>
          </w:p>
          <w:p w:rsidR="007C190D" w:rsidRPr="0014399A" w:rsidRDefault="007C190D" w:rsidP="007C190D">
            <w:pPr>
              <w:cnfStyle w:val="000000100000"/>
              <w:rPr>
                <w:sz w:val="22"/>
                <w:szCs w:val="22"/>
              </w:rPr>
            </w:pPr>
          </w:p>
        </w:tc>
      </w:tr>
      <w:tr w:rsidR="007C190D" w:rsidTr="007C190D">
        <w:trPr>
          <w:cnfStyle w:val="000000010000"/>
        </w:trPr>
        <w:tc>
          <w:tcPr>
            <w:cnfStyle w:val="001000000000"/>
            <w:tcW w:w="645" w:type="pct"/>
          </w:tcPr>
          <w:p w:rsidR="007C190D" w:rsidRDefault="007C190D" w:rsidP="007C190D">
            <w:r>
              <w:t>Clinical Bottom Line</w:t>
            </w:r>
          </w:p>
        </w:tc>
        <w:tc>
          <w:tcPr>
            <w:tcW w:w="2178" w:type="pct"/>
          </w:tcPr>
          <w:p w:rsidR="007C190D" w:rsidRPr="0014399A" w:rsidRDefault="007C190D" w:rsidP="007C190D">
            <w:pPr>
              <w:cnfStyle w:val="000000010000"/>
              <w:rPr>
                <w:sz w:val="22"/>
                <w:szCs w:val="22"/>
              </w:rPr>
            </w:pPr>
            <w:r>
              <w:rPr>
                <w:sz w:val="22"/>
                <w:szCs w:val="22"/>
              </w:rPr>
              <w:t>With longer treatment of EpiCeram there may some alleviation of AD symptoms as compared to topical corticosteroids, but not very impressive.  May think about use in a child who needs repeated courses of higher potency steroids, but safety profile needs to be reviewed.</w:t>
            </w:r>
          </w:p>
        </w:tc>
        <w:tc>
          <w:tcPr>
            <w:tcW w:w="2178" w:type="pct"/>
          </w:tcPr>
          <w:p w:rsidR="007C190D" w:rsidRPr="0014399A" w:rsidRDefault="007C190D" w:rsidP="007C190D">
            <w:pPr>
              <w:cnfStyle w:val="000000010000"/>
              <w:rPr>
                <w:sz w:val="22"/>
                <w:szCs w:val="22"/>
              </w:rPr>
            </w:pPr>
            <w:r>
              <w:rPr>
                <w:sz w:val="22"/>
                <w:szCs w:val="22"/>
              </w:rPr>
              <w:t>HC lotion has faster resolution of erythema, excoriation and pruritis, but side effects include striae, atrophy of the skin and telangiectasias.  LA lotion has no real harm in its use, unable to conclude if it is as effective as HC lotion.</w:t>
            </w:r>
          </w:p>
        </w:tc>
      </w:tr>
    </w:tbl>
    <w:p w:rsidR="007C190D" w:rsidRDefault="007C190D" w:rsidP="007C190D"/>
    <w:p w:rsidR="007C190D" w:rsidRDefault="007C190D" w:rsidP="007C190D">
      <w:r>
        <w:br w:type="page"/>
      </w:r>
    </w:p>
    <w:p w:rsidR="007C190D" w:rsidRPr="004F42F7" w:rsidRDefault="000217AF" w:rsidP="007C190D">
      <w:pPr>
        <w:rPr>
          <w:rFonts w:asciiTheme="majorHAnsi" w:hAnsiTheme="majorHAnsi" w:cs="Arial"/>
          <w:b/>
        </w:rPr>
      </w:pPr>
      <w:bookmarkStart w:id="0" w:name="_GoBack"/>
      <w:r w:rsidRPr="004F42F7">
        <w:rPr>
          <w:rFonts w:asciiTheme="majorHAnsi" w:hAnsiTheme="majorHAnsi" w:cs="Arial"/>
          <w:b/>
        </w:rPr>
        <w:t>Are Topical Non-Steroidals as Effective as Topical Corticosteroids in the Treatment of Atopic Dermatitis?</w:t>
      </w:r>
    </w:p>
    <w:bookmarkEnd w:id="0"/>
    <w:p w:rsidR="000217AF" w:rsidRDefault="000217AF" w:rsidP="007C190D"/>
    <w:tbl>
      <w:tblPr>
        <w:tblStyle w:val="LightGrid"/>
        <w:tblW w:w="14418" w:type="dxa"/>
        <w:tblLayout w:type="fixed"/>
        <w:tblLook w:val="04A0"/>
      </w:tblPr>
      <w:tblGrid>
        <w:gridCol w:w="1368"/>
        <w:gridCol w:w="5010"/>
        <w:gridCol w:w="4020"/>
        <w:gridCol w:w="4020"/>
      </w:tblGrid>
      <w:tr w:rsidR="007C190D" w:rsidTr="007C190D">
        <w:trPr>
          <w:cnfStyle w:val="100000000000"/>
          <w:trHeight w:val="250"/>
        </w:trPr>
        <w:tc>
          <w:tcPr>
            <w:cnfStyle w:val="001000000000"/>
            <w:tcW w:w="1368" w:type="dxa"/>
          </w:tcPr>
          <w:p w:rsidR="007C190D" w:rsidRDefault="007C190D" w:rsidP="007C190D"/>
        </w:tc>
        <w:tc>
          <w:tcPr>
            <w:tcW w:w="5010" w:type="dxa"/>
          </w:tcPr>
          <w:p w:rsidR="007C190D" w:rsidRDefault="007C190D" w:rsidP="007C190D">
            <w:pPr>
              <w:jc w:val="center"/>
              <w:cnfStyle w:val="100000000000"/>
            </w:pPr>
            <w:r>
              <w:t>Citation #4</w:t>
            </w:r>
          </w:p>
        </w:tc>
        <w:tc>
          <w:tcPr>
            <w:tcW w:w="4020" w:type="dxa"/>
          </w:tcPr>
          <w:p w:rsidR="007C190D" w:rsidRDefault="007C190D" w:rsidP="007C190D">
            <w:pPr>
              <w:jc w:val="center"/>
              <w:cnfStyle w:val="100000000000"/>
            </w:pPr>
            <w:r>
              <w:t>Citation #5</w:t>
            </w:r>
          </w:p>
        </w:tc>
        <w:tc>
          <w:tcPr>
            <w:tcW w:w="4020" w:type="dxa"/>
          </w:tcPr>
          <w:p w:rsidR="007C190D" w:rsidRDefault="007C190D" w:rsidP="007C190D">
            <w:pPr>
              <w:jc w:val="center"/>
              <w:cnfStyle w:val="100000000000"/>
            </w:pPr>
            <w:r>
              <w:t>Citation #6</w:t>
            </w:r>
          </w:p>
        </w:tc>
      </w:tr>
      <w:tr w:rsidR="007C190D" w:rsidTr="007C190D">
        <w:trPr>
          <w:cnfStyle w:val="000000100000"/>
          <w:trHeight w:val="586"/>
        </w:trPr>
        <w:tc>
          <w:tcPr>
            <w:cnfStyle w:val="001000000000"/>
            <w:tcW w:w="1368" w:type="dxa"/>
          </w:tcPr>
          <w:p w:rsidR="007C190D" w:rsidRDefault="007C190D" w:rsidP="007C190D">
            <w:r>
              <w:t>Reference</w:t>
            </w:r>
          </w:p>
        </w:tc>
        <w:tc>
          <w:tcPr>
            <w:tcW w:w="5010" w:type="dxa"/>
          </w:tcPr>
          <w:p w:rsidR="007C190D" w:rsidRPr="00934CD0" w:rsidRDefault="007C190D" w:rsidP="007C190D">
            <w:pPr>
              <w:cnfStyle w:val="000000100000"/>
              <w:rPr>
                <w:sz w:val="22"/>
                <w:szCs w:val="22"/>
              </w:rPr>
            </w:pPr>
            <w:r w:rsidRPr="00934CD0">
              <w:rPr>
                <w:sz w:val="22"/>
                <w:szCs w:val="22"/>
              </w:rPr>
              <w:t xml:space="preserve">El-Bataway MM, Bosseila MA, Mashaly HM and Hafex VS.  Topical calcineurin inhibitors in atopic dermatitis: a systematic review and meta-analysis.  </w:t>
            </w:r>
            <w:r w:rsidRPr="00934CD0">
              <w:rPr>
                <w:i/>
                <w:sz w:val="22"/>
                <w:szCs w:val="22"/>
              </w:rPr>
              <w:t>Journal of Dermatological Science</w:t>
            </w:r>
            <w:r w:rsidRPr="00934CD0">
              <w:rPr>
                <w:sz w:val="22"/>
                <w:szCs w:val="22"/>
              </w:rPr>
              <w:t>, 2009; 54: 76-87.</w:t>
            </w:r>
          </w:p>
        </w:tc>
        <w:tc>
          <w:tcPr>
            <w:tcW w:w="4020" w:type="dxa"/>
          </w:tcPr>
          <w:p w:rsidR="007C190D" w:rsidRDefault="007C190D" w:rsidP="007C190D">
            <w:pPr>
              <w:cnfStyle w:val="000000100000"/>
              <w:rPr>
                <w:sz w:val="22"/>
                <w:szCs w:val="22"/>
              </w:rPr>
            </w:pPr>
            <w:r w:rsidRPr="00934CD0">
              <w:rPr>
                <w:sz w:val="22"/>
                <w:szCs w:val="22"/>
              </w:rPr>
              <w:t xml:space="preserve">Doss N, Kamoun MR, Bubertret, Cambazard F, Remitz A, Lahfa M and de Prost Y.  Efficacy to tacrolimus 0.03% ointment as second line treatment for children with moderate-severe atopic dermatitis; evidence from randomized, double-blind non inferiority trial vs. fluticasone 0.005% ointment.  </w:t>
            </w:r>
            <w:r w:rsidRPr="00934CD0">
              <w:rPr>
                <w:i/>
                <w:sz w:val="22"/>
                <w:szCs w:val="22"/>
              </w:rPr>
              <w:t xml:space="preserve">Pediatric Allergy and Immunology, </w:t>
            </w:r>
            <w:r w:rsidRPr="00934CD0">
              <w:rPr>
                <w:sz w:val="22"/>
                <w:szCs w:val="22"/>
              </w:rPr>
              <w:t>2009; 21: 321-329.</w:t>
            </w:r>
          </w:p>
          <w:p w:rsidR="007C190D" w:rsidRPr="00934CD0" w:rsidRDefault="007C190D" w:rsidP="007C190D">
            <w:pPr>
              <w:cnfStyle w:val="000000100000"/>
              <w:rPr>
                <w:sz w:val="22"/>
                <w:szCs w:val="22"/>
              </w:rPr>
            </w:pPr>
          </w:p>
        </w:tc>
        <w:tc>
          <w:tcPr>
            <w:tcW w:w="4020" w:type="dxa"/>
          </w:tcPr>
          <w:p w:rsidR="007C190D" w:rsidRDefault="007C190D" w:rsidP="007C190D">
            <w:pPr>
              <w:cnfStyle w:val="000000100000"/>
            </w:pPr>
            <w:r w:rsidRPr="00312AC4">
              <w:rPr>
                <w:sz w:val="22"/>
                <w:szCs w:val="22"/>
              </w:rPr>
              <w:t xml:space="preserve">Beiber T, Vick K, Folster-Holst R, Belloni-Fortina A, Stadler G, Worm M and Arcangeli F.  Efficacy and safety of methylprednisolone aceponate ointment 0.1% compared to tacrolimus 0.03% in children and adolescents with an acute flare of severe atopic dermatitis.  </w:t>
            </w:r>
            <w:r w:rsidRPr="00312AC4">
              <w:rPr>
                <w:i/>
                <w:sz w:val="22"/>
                <w:szCs w:val="22"/>
              </w:rPr>
              <w:t>Allergy</w:t>
            </w:r>
            <w:r w:rsidRPr="00312AC4">
              <w:rPr>
                <w:sz w:val="22"/>
                <w:szCs w:val="22"/>
              </w:rPr>
              <w:t>, 2007; 62: 184-189.</w:t>
            </w:r>
          </w:p>
        </w:tc>
      </w:tr>
      <w:tr w:rsidR="007C190D" w:rsidTr="007C190D">
        <w:trPr>
          <w:cnfStyle w:val="000000010000"/>
          <w:trHeight w:val="586"/>
        </w:trPr>
        <w:tc>
          <w:tcPr>
            <w:cnfStyle w:val="001000000000"/>
            <w:tcW w:w="1368" w:type="dxa"/>
          </w:tcPr>
          <w:p w:rsidR="007C190D" w:rsidRDefault="007C190D" w:rsidP="007C190D">
            <w:r>
              <w:t>Study Question</w:t>
            </w:r>
          </w:p>
        </w:tc>
        <w:tc>
          <w:tcPr>
            <w:tcW w:w="5010" w:type="dxa"/>
          </w:tcPr>
          <w:p w:rsidR="007C190D" w:rsidRPr="00934CD0" w:rsidRDefault="007C190D" w:rsidP="007C190D">
            <w:pPr>
              <w:cnfStyle w:val="000000010000"/>
              <w:rPr>
                <w:sz w:val="22"/>
                <w:szCs w:val="22"/>
              </w:rPr>
            </w:pPr>
            <w:r>
              <w:rPr>
                <w:sz w:val="22"/>
                <w:szCs w:val="22"/>
              </w:rPr>
              <w:t>Are topical calcineur</w:t>
            </w:r>
            <w:r w:rsidRPr="00934CD0">
              <w:rPr>
                <w:sz w:val="22"/>
                <w:szCs w:val="22"/>
              </w:rPr>
              <w:t xml:space="preserve">in inhibitors effective in treating atopic dermatitis? </w:t>
            </w:r>
          </w:p>
        </w:tc>
        <w:tc>
          <w:tcPr>
            <w:tcW w:w="4020" w:type="dxa"/>
          </w:tcPr>
          <w:p w:rsidR="007C190D" w:rsidRDefault="007C190D" w:rsidP="007C190D">
            <w:pPr>
              <w:cnfStyle w:val="000000010000"/>
              <w:rPr>
                <w:sz w:val="22"/>
                <w:szCs w:val="22"/>
              </w:rPr>
            </w:pPr>
            <w:r w:rsidRPr="00934CD0">
              <w:rPr>
                <w:sz w:val="22"/>
                <w:szCs w:val="22"/>
              </w:rPr>
              <w:t xml:space="preserve">Is tacrolimus </w:t>
            </w:r>
            <w:r>
              <w:rPr>
                <w:sz w:val="22"/>
                <w:szCs w:val="22"/>
              </w:rPr>
              <w:t xml:space="preserve">an effective </w:t>
            </w:r>
            <w:r w:rsidRPr="00934CD0">
              <w:rPr>
                <w:sz w:val="22"/>
                <w:szCs w:val="22"/>
              </w:rPr>
              <w:t>second line treatment for mod-severe AD as compared to fluticasone?</w:t>
            </w:r>
          </w:p>
          <w:p w:rsidR="007C190D" w:rsidRPr="00934CD0" w:rsidRDefault="007C190D" w:rsidP="007C190D">
            <w:pPr>
              <w:cnfStyle w:val="000000010000"/>
              <w:rPr>
                <w:sz w:val="22"/>
                <w:szCs w:val="22"/>
              </w:rPr>
            </w:pPr>
          </w:p>
        </w:tc>
        <w:tc>
          <w:tcPr>
            <w:tcW w:w="4020" w:type="dxa"/>
          </w:tcPr>
          <w:p w:rsidR="007C190D" w:rsidRDefault="007C190D" w:rsidP="007C190D">
            <w:pPr>
              <w:cnfStyle w:val="000000010000"/>
              <w:rPr>
                <w:sz w:val="22"/>
                <w:szCs w:val="22"/>
              </w:rPr>
            </w:pPr>
            <w:r w:rsidRPr="00934CD0">
              <w:rPr>
                <w:sz w:val="22"/>
                <w:szCs w:val="22"/>
              </w:rPr>
              <w:t xml:space="preserve">Is a topical steroid as effective as a </w:t>
            </w:r>
            <w:r>
              <w:rPr>
                <w:sz w:val="22"/>
                <w:szCs w:val="22"/>
              </w:rPr>
              <w:t xml:space="preserve">topical </w:t>
            </w:r>
            <w:r w:rsidRPr="00934CD0">
              <w:rPr>
                <w:sz w:val="22"/>
                <w:szCs w:val="22"/>
              </w:rPr>
              <w:t>calcineurin inhibitor in treating an acute flare of severe atopic dermatitis?</w:t>
            </w:r>
          </w:p>
          <w:p w:rsidR="007C190D" w:rsidRPr="00934CD0" w:rsidRDefault="007C190D" w:rsidP="007C190D">
            <w:pPr>
              <w:cnfStyle w:val="000000010000"/>
              <w:rPr>
                <w:sz w:val="22"/>
                <w:szCs w:val="22"/>
              </w:rPr>
            </w:pPr>
          </w:p>
        </w:tc>
      </w:tr>
      <w:tr w:rsidR="007C190D" w:rsidTr="007C190D">
        <w:trPr>
          <w:cnfStyle w:val="000000100000"/>
          <w:trHeight w:val="586"/>
        </w:trPr>
        <w:tc>
          <w:tcPr>
            <w:cnfStyle w:val="001000000000"/>
            <w:tcW w:w="1368" w:type="dxa"/>
          </w:tcPr>
          <w:p w:rsidR="007C190D" w:rsidRDefault="007C190D" w:rsidP="007C190D">
            <w:r>
              <w:t>Study Design</w:t>
            </w:r>
          </w:p>
        </w:tc>
        <w:tc>
          <w:tcPr>
            <w:tcW w:w="5010" w:type="dxa"/>
          </w:tcPr>
          <w:p w:rsidR="007C190D" w:rsidRPr="00934CD0" w:rsidRDefault="007C190D" w:rsidP="007C190D">
            <w:pPr>
              <w:cnfStyle w:val="000000100000"/>
              <w:rPr>
                <w:sz w:val="22"/>
                <w:szCs w:val="22"/>
              </w:rPr>
            </w:pPr>
            <w:r w:rsidRPr="00934CD0">
              <w:rPr>
                <w:sz w:val="22"/>
                <w:szCs w:val="22"/>
              </w:rPr>
              <w:t>Systematic review</w:t>
            </w:r>
          </w:p>
        </w:tc>
        <w:tc>
          <w:tcPr>
            <w:tcW w:w="4020" w:type="dxa"/>
          </w:tcPr>
          <w:p w:rsidR="007C190D" w:rsidRDefault="007C190D" w:rsidP="007C190D">
            <w:pPr>
              <w:cnfStyle w:val="000000100000"/>
              <w:rPr>
                <w:sz w:val="22"/>
                <w:szCs w:val="22"/>
              </w:rPr>
            </w:pPr>
            <w:r>
              <w:rPr>
                <w:sz w:val="22"/>
                <w:szCs w:val="22"/>
              </w:rPr>
              <w:t>Randomized, double blinded comparative study</w:t>
            </w:r>
          </w:p>
          <w:p w:rsidR="007C190D" w:rsidRPr="00934CD0" w:rsidRDefault="007C190D" w:rsidP="007C190D">
            <w:pPr>
              <w:cnfStyle w:val="000000100000"/>
              <w:rPr>
                <w:sz w:val="22"/>
                <w:szCs w:val="22"/>
              </w:rPr>
            </w:pPr>
          </w:p>
        </w:tc>
        <w:tc>
          <w:tcPr>
            <w:tcW w:w="4020" w:type="dxa"/>
          </w:tcPr>
          <w:p w:rsidR="007C190D" w:rsidRPr="00934CD0" w:rsidRDefault="007C190D" w:rsidP="007C190D">
            <w:pPr>
              <w:cnfStyle w:val="000000100000"/>
              <w:rPr>
                <w:sz w:val="22"/>
                <w:szCs w:val="22"/>
              </w:rPr>
            </w:pPr>
            <w:r w:rsidRPr="00934CD0">
              <w:rPr>
                <w:sz w:val="22"/>
                <w:szCs w:val="22"/>
              </w:rPr>
              <w:t>Randomized, double blinded comparative study</w:t>
            </w:r>
          </w:p>
        </w:tc>
      </w:tr>
      <w:tr w:rsidR="007C190D" w:rsidTr="007C190D">
        <w:trPr>
          <w:cnfStyle w:val="000000010000"/>
          <w:trHeight w:val="349"/>
        </w:trPr>
        <w:tc>
          <w:tcPr>
            <w:cnfStyle w:val="001000000000"/>
            <w:tcW w:w="1368" w:type="dxa"/>
          </w:tcPr>
          <w:p w:rsidR="007C190D" w:rsidRDefault="007C190D" w:rsidP="007C190D">
            <w:r>
              <w:t>Validity</w:t>
            </w:r>
          </w:p>
        </w:tc>
        <w:tc>
          <w:tcPr>
            <w:tcW w:w="5010" w:type="dxa"/>
          </w:tcPr>
          <w:p w:rsidR="007C190D" w:rsidRPr="00934CD0" w:rsidRDefault="007C190D" w:rsidP="007C190D">
            <w:pPr>
              <w:cnfStyle w:val="000000010000"/>
              <w:rPr>
                <w:sz w:val="22"/>
                <w:szCs w:val="22"/>
              </w:rPr>
            </w:pPr>
            <w:r>
              <w:rPr>
                <w:sz w:val="22"/>
                <w:szCs w:val="22"/>
              </w:rPr>
              <w:t>+/-</w:t>
            </w:r>
          </w:p>
        </w:tc>
        <w:tc>
          <w:tcPr>
            <w:tcW w:w="4020" w:type="dxa"/>
          </w:tcPr>
          <w:p w:rsidR="007C190D" w:rsidRDefault="007C190D" w:rsidP="007C190D">
            <w:pPr>
              <w:cnfStyle w:val="000000010000"/>
              <w:rPr>
                <w:sz w:val="22"/>
                <w:szCs w:val="22"/>
              </w:rPr>
            </w:pPr>
            <w:r>
              <w:rPr>
                <w:sz w:val="22"/>
                <w:szCs w:val="22"/>
              </w:rPr>
              <w:t>Yes</w:t>
            </w:r>
          </w:p>
          <w:p w:rsidR="007C190D" w:rsidRPr="00934CD0" w:rsidRDefault="007C190D" w:rsidP="007C190D">
            <w:pPr>
              <w:cnfStyle w:val="000000010000"/>
              <w:rPr>
                <w:sz w:val="22"/>
                <w:szCs w:val="22"/>
              </w:rPr>
            </w:pPr>
          </w:p>
        </w:tc>
        <w:tc>
          <w:tcPr>
            <w:tcW w:w="4020" w:type="dxa"/>
          </w:tcPr>
          <w:p w:rsidR="007C190D" w:rsidRPr="00934CD0" w:rsidRDefault="007C190D" w:rsidP="007C190D">
            <w:pPr>
              <w:cnfStyle w:val="000000010000"/>
              <w:rPr>
                <w:sz w:val="22"/>
                <w:szCs w:val="22"/>
              </w:rPr>
            </w:pPr>
            <w:r w:rsidRPr="00934CD0">
              <w:rPr>
                <w:sz w:val="22"/>
                <w:szCs w:val="22"/>
              </w:rPr>
              <w:t>Yes</w:t>
            </w:r>
          </w:p>
        </w:tc>
      </w:tr>
      <w:tr w:rsidR="007C190D" w:rsidTr="007C190D">
        <w:trPr>
          <w:cnfStyle w:val="000000100000"/>
          <w:trHeight w:val="277"/>
        </w:trPr>
        <w:tc>
          <w:tcPr>
            <w:cnfStyle w:val="001000000000"/>
            <w:tcW w:w="1368" w:type="dxa"/>
          </w:tcPr>
          <w:p w:rsidR="007C190D" w:rsidRDefault="007C190D" w:rsidP="007C190D">
            <w:r>
              <w:t>Results</w:t>
            </w:r>
          </w:p>
        </w:tc>
        <w:tc>
          <w:tcPr>
            <w:tcW w:w="5010" w:type="dxa"/>
          </w:tcPr>
          <w:p w:rsidR="007C190D" w:rsidRPr="00934CD0" w:rsidRDefault="007C190D" w:rsidP="007C190D">
            <w:pPr>
              <w:cnfStyle w:val="000000100000"/>
              <w:rPr>
                <w:sz w:val="22"/>
                <w:szCs w:val="22"/>
              </w:rPr>
            </w:pPr>
            <w:r>
              <w:rPr>
                <w:sz w:val="22"/>
                <w:szCs w:val="22"/>
              </w:rPr>
              <w:t>Pimecrolimus less effective than topical corticosteroids</w:t>
            </w:r>
          </w:p>
        </w:tc>
        <w:tc>
          <w:tcPr>
            <w:tcW w:w="4020" w:type="dxa"/>
          </w:tcPr>
          <w:p w:rsidR="007C190D" w:rsidRDefault="007C190D" w:rsidP="007C190D">
            <w:pPr>
              <w:cnfStyle w:val="000000100000"/>
              <w:rPr>
                <w:sz w:val="22"/>
                <w:szCs w:val="22"/>
              </w:rPr>
            </w:pPr>
            <w:r w:rsidRPr="00934CD0">
              <w:rPr>
                <w:rFonts w:ascii="Cambria" w:hAnsi="Cambria"/>
                <w:sz w:val="22"/>
                <w:szCs w:val="22"/>
              </w:rPr>
              <w:t>Δ</w:t>
            </w:r>
            <w:r>
              <w:rPr>
                <w:sz w:val="22"/>
                <w:szCs w:val="22"/>
              </w:rPr>
              <w:t xml:space="preserve"> = 1.62%</w:t>
            </w:r>
          </w:p>
          <w:p w:rsidR="007C190D" w:rsidRPr="00934CD0" w:rsidRDefault="007C190D" w:rsidP="007C190D">
            <w:pPr>
              <w:cnfStyle w:val="000000100000"/>
              <w:rPr>
                <w:sz w:val="22"/>
                <w:szCs w:val="22"/>
              </w:rPr>
            </w:pPr>
          </w:p>
        </w:tc>
        <w:tc>
          <w:tcPr>
            <w:tcW w:w="4020" w:type="dxa"/>
          </w:tcPr>
          <w:p w:rsidR="007C190D" w:rsidRDefault="007C190D" w:rsidP="007C190D">
            <w:pPr>
              <w:cnfStyle w:val="000000100000"/>
              <w:rPr>
                <w:rFonts w:ascii="Cambria" w:hAnsi="Cambria"/>
                <w:sz w:val="22"/>
                <w:szCs w:val="22"/>
              </w:rPr>
            </w:pPr>
            <w:r w:rsidRPr="00934CD0">
              <w:rPr>
                <w:rFonts w:ascii="Cambria" w:hAnsi="Cambria"/>
                <w:sz w:val="22"/>
                <w:szCs w:val="22"/>
              </w:rPr>
              <w:t>Δ</w:t>
            </w:r>
            <w:r>
              <w:rPr>
                <w:sz w:val="22"/>
                <w:szCs w:val="22"/>
              </w:rPr>
              <w:t xml:space="preserve"> = 9% (Success rate by Day 14)</w:t>
            </w:r>
          </w:p>
          <w:p w:rsidR="007C190D" w:rsidRPr="00934CD0" w:rsidRDefault="007C190D" w:rsidP="007C190D">
            <w:pPr>
              <w:cnfStyle w:val="000000100000"/>
              <w:rPr>
                <w:sz w:val="22"/>
                <w:szCs w:val="22"/>
              </w:rPr>
            </w:pPr>
            <w:r w:rsidRPr="00934CD0">
              <w:rPr>
                <w:rFonts w:ascii="Cambria" w:hAnsi="Cambria"/>
                <w:sz w:val="22"/>
                <w:szCs w:val="22"/>
              </w:rPr>
              <w:t>Δ</w:t>
            </w:r>
            <w:r w:rsidRPr="00934CD0">
              <w:rPr>
                <w:sz w:val="22"/>
                <w:szCs w:val="22"/>
              </w:rPr>
              <w:t xml:space="preserve"> = 0.3%</w:t>
            </w:r>
            <w:r>
              <w:rPr>
                <w:sz w:val="22"/>
                <w:szCs w:val="22"/>
              </w:rPr>
              <w:t xml:space="preserve"> (Patients clear by end of tx)</w:t>
            </w:r>
          </w:p>
        </w:tc>
      </w:tr>
      <w:tr w:rsidR="007C190D" w:rsidTr="007C190D">
        <w:trPr>
          <w:cnfStyle w:val="000000010000"/>
          <w:trHeight w:val="862"/>
        </w:trPr>
        <w:tc>
          <w:tcPr>
            <w:cnfStyle w:val="001000000000"/>
            <w:tcW w:w="1368" w:type="dxa"/>
          </w:tcPr>
          <w:p w:rsidR="007C190D" w:rsidRDefault="007C190D" w:rsidP="007C190D">
            <w:r>
              <w:t>Limitations</w:t>
            </w:r>
          </w:p>
        </w:tc>
        <w:tc>
          <w:tcPr>
            <w:tcW w:w="5010" w:type="dxa"/>
          </w:tcPr>
          <w:p w:rsidR="007C190D" w:rsidRPr="00934CD0" w:rsidRDefault="007C190D" w:rsidP="007C190D">
            <w:pPr>
              <w:cnfStyle w:val="000000010000"/>
              <w:rPr>
                <w:sz w:val="22"/>
                <w:szCs w:val="22"/>
              </w:rPr>
            </w:pPr>
            <w:r w:rsidRPr="00934CD0">
              <w:rPr>
                <w:sz w:val="22"/>
                <w:szCs w:val="22"/>
              </w:rPr>
              <w:t>Not all studies were comparative studies to the gold standard (topical steroids)</w:t>
            </w:r>
            <w:r>
              <w:rPr>
                <w:sz w:val="22"/>
                <w:szCs w:val="22"/>
              </w:rPr>
              <w:t>; Non-English studies excluded</w:t>
            </w:r>
          </w:p>
        </w:tc>
        <w:tc>
          <w:tcPr>
            <w:tcW w:w="4020" w:type="dxa"/>
          </w:tcPr>
          <w:p w:rsidR="007C190D" w:rsidRPr="00934CD0" w:rsidRDefault="007C190D" w:rsidP="007C190D">
            <w:pPr>
              <w:cnfStyle w:val="000000010000"/>
              <w:rPr>
                <w:sz w:val="22"/>
                <w:szCs w:val="22"/>
              </w:rPr>
            </w:pPr>
            <w:r>
              <w:rPr>
                <w:sz w:val="22"/>
                <w:szCs w:val="22"/>
              </w:rPr>
              <w:t>Industry sponsored trial</w:t>
            </w:r>
          </w:p>
        </w:tc>
        <w:tc>
          <w:tcPr>
            <w:tcW w:w="4020" w:type="dxa"/>
          </w:tcPr>
          <w:p w:rsidR="007C190D" w:rsidRPr="00934CD0" w:rsidRDefault="007C190D" w:rsidP="007C190D">
            <w:pPr>
              <w:cnfStyle w:val="000000010000"/>
              <w:rPr>
                <w:sz w:val="22"/>
                <w:szCs w:val="22"/>
              </w:rPr>
            </w:pPr>
            <w:r>
              <w:rPr>
                <w:sz w:val="22"/>
                <w:szCs w:val="22"/>
              </w:rPr>
              <w:t>Unclear what endpoints were measured exactly (success of tx vs. cleared by end of tx)</w:t>
            </w:r>
          </w:p>
        </w:tc>
      </w:tr>
      <w:tr w:rsidR="007C190D" w:rsidTr="007C190D">
        <w:trPr>
          <w:cnfStyle w:val="000000100000"/>
          <w:trHeight w:val="586"/>
        </w:trPr>
        <w:tc>
          <w:tcPr>
            <w:cnfStyle w:val="001000000000"/>
            <w:tcW w:w="1368" w:type="dxa"/>
          </w:tcPr>
          <w:p w:rsidR="007C190D" w:rsidRDefault="007C190D" w:rsidP="007C190D">
            <w:r>
              <w:t>Application</w:t>
            </w:r>
          </w:p>
        </w:tc>
        <w:tc>
          <w:tcPr>
            <w:tcW w:w="5010" w:type="dxa"/>
          </w:tcPr>
          <w:p w:rsidR="007C190D" w:rsidRPr="00934CD0" w:rsidRDefault="007C190D" w:rsidP="007C190D">
            <w:pPr>
              <w:cnfStyle w:val="000000100000"/>
              <w:rPr>
                <w:sz w:val="22"/>
                <w:szCs w:val="22"/>
              </w:rPr>
            </w:pPr>
            <w:r w:rsidRPr="00934CD0">
              <w:rPr>
                <w:sz w:val="22"/>
                <w:szCs w:val="22"/>
              </w:rPr>
              <w:t>Yes, but the review includes older studies that may make applicability more difficult</w:t>
            </w:r>
          </w:p>
        </w:tc>
        <w:tc>
          <w:tcPr>
            <w:tcW w:w="4020" w:type="dxa"/>
          </w:tcPr>
          <w:p w:rsidR="007C190D" w:rsidRPr="00934CD0" w:rsidRDefault="007C190D" w:rsidP="007C190D">
            <w:pPr>
              <w:cnfStyle w:val="000000100000"/>
              <w:rPr>
                <w:sz w:val="22"/>
                <w:szCs w:val="22"/>
              </w:rPr>
            </w:pPr>
            <w:r>
              <w:rPr>
                <w:sz w:val="22"/>
                <w:szCs w:val="22"/>
              </w:rPr>
              <w:t>Yes</w:t>
            </w:r>
          </w:p>
        </w:tc>
        <w:tc>
          <w:tcPr>
            <w:tcW w:w="4020" w:type="dxa"/>
          </w:tcPr>
          <w:p w:rsidR="007C190D" w:rsidRPr="00934CD0" w:rsidRDefault="007C190D" w:rsidP="007C190D">
            <w:pPr>
              <w:cnfStyle w:val="000000100000"/>
              <w:rPr>
                <w:sz w:val="22"/>
                <w:szCs w:val="22"/>
              </w:rPr>
            </w:pPr>
            <w:r w:rsidRPr="00934CD0">
              <w:rPr>
                <w:sz w:val="22"/>
                <w:szCs w:val="22"/>
              </w:rPr>
              <w:t>Yes</w:t>
            </w:r>
          </w:p>
        </w:tc>
      </w:tr>
      <w:tr w:rsidR="007C190D" w:rsidTr="007C190D">
        <w:trPr>
          <w:cnfStyle w:val="000000010000"/>
          <w:trHeight w:val="340"/>
        </w:trPr>
        <w:tc>
          <w:tcPr>
            <w:cnfStyle w:val="001000000000"/>
            <w:tcW w:w="1368" w:type="dxa"/>
          </w:tcPr>
          <w:p w:rsidR="007C190D" w:rsidRDefault="007C190D" w:rsidP="007C190D">
            <w:r>
              <w:t>Clinical Bottom Line</w:t>
            </w:r>
          </w:p>
        </w:tc>
        <w:tc>
          <w:tcPr>
            <w:tcW w:w="5010" w:type="dxa"/>
          </w:tcPr>
          <w:p w:rsidR="007C190D" w:rsidRPr="00934CD0" w:rsidRDefault="007C190D" w:rsidP="007C190D">
            <w:pPr>
              <w:cnfStyle w:val="000000010000"/>
              <w:rPr>
                <w:sz w:val="22"/>
                <w:szCs w:val="22"/>
              </w:rPr>
            </w:pPr>
            <w:r w:rsidRPr="00934CD0">
              <w:rPr>
                <w:sz w:val="22"/>
                <w:szCs w:val="22"/>
              </w:rPr>
              <w:t xml:space="preserve">Pimecrolimus in children with mild </w:t>
            </w:r>
            <w:r>
              <w:rPr>
                <w:sz w:val="22"/>
                <w:szCs w:val="22"/>
              </w:rPr>
              <w:t>AD</w:t>
            </w:r>
            <w:r w:rsidRPr="00934CD0">
              <w:rPr>
                <w:sz w:val="22"/>
                <w:szCs w:val="22"/>
              </w:rPr>
              <w:t xml:space="preserve"> &gt; 2 years</w:t>
            </w:r>
            <w:r>
              <w:rPr>
                <w:sz w:val="22"/>
                <w:szCs w:val="22"/>
              </w:rPr>
              <w:t xml:space="preserve"> may have value in long-term maintenance &amp; steroid sparing effect in AD.  P</w:t>
            </w:r>
            <w:r w:rsidRPr="00934CD0">
              <w:rPr>
                <w:sz w:val="22"/>
                <w:szCs w:val="22"/>
              </w:rPr>
              <w:t>arents may prefer corticosteroids for faster relief of symptoms</w:t>
            </w:r>
            <w:r>
              <w:rPr>
                <w:sz w:val="22"/>
                <w:szCs w:val="22"/>
              </w:rPr>
              <w:t xml:space="preserve"> in the setting of an acute flare</w:t>
            </w:r>
            <w:r w:rsidRPr="00934CD0">
              <w:rPr>
                <w:sz w:val="22"/>
                <w:szCs w:val="22"/>
              </w:rPr>
              <w:t>.</w:t>
            </w:r>
          </w:p>
        </w:tc>
        <w:tc>
          <w:tcPr>
            <w:tcW w:w="4020" w:type="dxa"/>
          </w:tcPr>
          <w:p w:rsidR="007C190D" w:rsidRDefault="007C190D" w:rsidP="007C190D">
            <w:pPr>
              <w:cnfStyle w:val="000000010000"/>
              <w:rPr>
                <w:sz w:val="22"/>
                <w:szCs w:val="22"/>
              </w:rPr>
            </w:pPr>
            <w:r>
              <w:rPr>
                <w:sz w:val="22"/>
                <w:szCs w:val="22"/>
              </w:rPr>
              <w:t>May use Tacrolimus in children with mod-severe AD &gt;2yr depending on the patient’s clinical presentation and previous response to steroids; but still need to consider safety profile.</w:t>
            </w:r>
          </w:p>
          <w:p w:rsidR="007C190D" w:rsidRPr="00934CD0" w:rsidRDefault="007C190D" w:rsidP="007C190D">
            <w:pPr>
              <w:cnfStyle w:val="000000010000"/>
              <w:rPr>
                <w:sz w:val="22"/>
                <w:szCs w:val="22"/>
              </w:rPr>
            </w:pPr>
          </w:p>
        </w:tc>
        <w:tc>
          <w:tcPr>
            <w:tcW w:w="4020" w:type="dxa"/>
          </w:tcPr>
          <w:p w:rsidR="007C190D" w:rsidRPr="00934CD0" w:rsidRDefault="007C190D" w:rsidP="007C190D">
            <w:pPr>
              <w:cnfStyle w:val="000000010000"/>
              <w:rPr>
                <w:sz w:val="22"/>
                <w:szCs w:val="22"/>
              </w:rPr>
            </w:pPr>
            <w:r>
              <w:rPr>
                <w:sz w:val="22"/>
                <w:szCs w:val="22"/>
              </w:rPr>
              <w:t>Topical corticosteroids remain gold standard as compared to Tacrolimus and leads to rapid relief of symptoms in patients with severe AD &amp; very severe AD.</w:t>
            </w:r>
          </w:p>
        </w:tc>
      </w:tr>
    </w:tbl>
    <w:p w:rsidR="007C190D" w:rsidRDefault="007C190D">
      <w:pPr>
        <w:rPr>
          <w:rFonts w:asciiTheme="majorHAnsi" w:hAnsiTheme="majorHAnsi" w:cs="Arial"/>
        </w:rPr>
        <w:sectPr w:rsidR="007C190D" w:rsidSect="007C190D">
          <w:pgSz w:w="15840" w:h="12240" w:orient="landscape"/>
          <w:pgMar w:top="720" w:right="720" w:bottom="720" w:left="720" w:header="720" w:footer="720" w:gutter="0"/>
          <w:cols w:space="720"/>
          <w:docGrid w:linePitch="360"/>
        </w:sectPr>
      </w:pPr>
    </w:p>
    <w:p w:rsidR="00B34820" w:rsidRPr="007C190D" w:rsidRDefault="00B34820" w:rsidP="00B34820">
      <w:pPr>
        <w:rPr>
          <w:rFonts w:asciiTheme="majorHAnsi" w:hAnsiTheme="majorHAnsi" w:cs="Arial"/>
          <w:b/>
        </w:rPr>
      </w:pPr>
      <w:r w:rsidRPr="007C190D">
        <w:rPr>
          <w:rFonts w:asciiTheme="majorHAnsi" w:hAnsiTheme="majorHAnsi" w:cs="Arial"/>
          <w:b/>
        </w:rPr>
        <w:t>References:</w:t>
      </w:r>
    </w:p>
    <w:p w:rsidR="007C190D" w:rsidRDefault="007C190D" w:rsidP="00B34820">
      <w:pPr>
        <w:rPr>
          <w:rFonts w:asciiTheme="majorHAnsi" w:hAnsiTheme="majorHAnsi" w:cs="Arial"/>
        </w:rPr>
      </w:pPr>
    </w:p>
    <w:p w:rsidR="00B34820" w:rsidRPr="00B34820" w:rsidRDefault="00B34820" w:rsidP="00B34820">
      <w:pPr>
        <w:pStyle w:val="ListParagraph"/>
        <w:numPr>
          <w:ilvl w:val="0"/>
          <w:numId w:val="1"/>
        </w:numPr>
        <w:rPr>
          <w:rFonts w:asciiTheme="majorHAnsi" w:hAnsiTheme="majorHAnsi" w:cs="Arial"/>
        </w:rPr>
      </w:pPr>
      <w:r w:rsidRPr="00B34820">
        <w:rPr>
          <w:rFonts w:asciiTheme="majorHAnsi" w:hAnsiTheme="majorHAnsi" w:cs="Arial"/>
        </w:rPr>
        <w:t xml:space="preserve">Beiber T, Vick K, Folster-Holst R, Belloni-Fortina A, Stadler G, Worm M and Arcangeli F.  Efficacy and safety of methylprednisolone aceponate ointment 0.1% compared to tacrolimus 0.03% in children and adolescents with an acute flare of severe atopic dermatitis.  </w:t>
      </w:r>
      <w:r w:rsidRPr="00B34820">
        <w:rPr>
          <w:rFonts w:asciiTheme="majorHAnsi" w:hAnsiTheme="majorHAnsi" w:cs="Arial"/>
          <w:i/>
          <w:iCs/>
        </w:rPr>
        <w:t>Allergy</w:t>
      </w:r>
      <w:r w:rsidRPr="00B34820">
        <w:rPr>
          <w:rFonts w:asciiTheme="majorHAnsi" w:hAnsiTheme="majorHAnsi" w:cs="Arial"/>
        </w:rPr>
        <w:t xml:space="preserve">, 2007; 62: 184-189 </w:t>
      </w:r>
    </w:p>
    <w:p w:rsidR="00B34820" w:rsidRDefault="00B34820" w:rsidP="00B34820">
      <w:pPr>
        <w:pStyle w:val="ListParagraph"/>
        <w:numPr>
          <w:ilvl w:val="0"/>
          <w:numId w:val="1"/>
        </w:numPr>
        <w:rPr>
          <w:rFonts w:asciiTheme="majorHAnsi" w:hAnsiTheme="majorHAnsi" w:cs="Arial"/>
        </w:rPr>
      </w:pPr>
      <w:r w:rsidRPr="00B34820">
        <w:rPr>
          <w:rFonts w:asciiTheme="majorHAnsi" w:hAnsiTheme="majorHAnsi" w:cs="Arial"/>
        </w:rPr>
        <w:t xml:space="preserve">Correale et al.  Atopic Dermatitis: A review of diagnosis and treatment.  </w:t>
      </w:r>
      <w:r w:rsidRPr="00B34820">
        <w:rPr>
          <w:rFonts w:asciiTheme="majorHAnsi" w:hAnsiTheme="majorHAnsi" w:cs="Arial"/>
          <w:i/>
          <w:iCs/>
        </w:rPr>
        <w:t>Am Family Physcian</w:t>
      </w:r>
      <w:r w:rsidRPr="00B34820">
        <w:rPr>
          <w:rFonts w:asciiTheme="majorHAnsi" w:hAnsiTheme="majorHAnsi" w:cs="Arial"/>
        </w:rPr>
        <w:t>, 1999; 60 (4): 1191-1198</w:t>
      </w:r>
    </w:p>
    <w:p w:rsidR="00B34820" w:rsidRDefault="00B34820" w:rsidP="00B34820">
      <w:pPr>
        <w:pStyle w:val="ListParagraph"/>
        <w:numPr>
          <w:ilvl w:val="0"/>
          <w:numId w:val="1"/>
        </w:numPr>
        <w:rPr>
          <w:rFonts w:asciiTheme="majorHAnsi" w:hAnsiTheme="majorHAnsi" w:cs="Arial"/>
        </w:rPr>
      </w:pPr>
      <w:r w:rsidRPr="00B34820">
        <w:rPr>
          <w:rFonts w:asciiTheme="majorHAnsi" w:hAnsiTheme="majorHAnsi" w:cs="Arial"/>
        </w:rPr>
        <w:t xml:space="preserve">Doss N, Kamoun MR, Bubertret, Cambazard F, Remitz A, Lahfa M and de Prost Y.  Efficacy to tacrolimus 0.03% ointment as second line treatment for children with moderate-severe atopic dermatitis; evidence from randomized, double-blind non inferiority trial vs. fluticasone 0.005% ointment.  </w:t>
      </w:r>
      <w:r w:rsidRPr="00B34820">
        <w:rPr>
          <w:rFonts w:asciiTheme="majorHAnsi" w:hAnsiTheme="majorHAnsi" w:cs="Arial"/>
          <w:i/>
          <w:iCs/>
        </w:rPr>
        <w:t xml:space="preserve">Pediatric Allergy and Immunology, </w:t>
      </w:r>
      <w:r w:rsidRPr="00B34820">
        <w:rPr>
          <w:rFonts w:asciiTheme="majorHAnsi" w:hAnsiTheme="majorHAnsi" w:cs="Arial"/>
        </w:rPr>
        <w:t xml:space="preserve">2009; 21: 321-329 </w:t>
      </w:r>
    </w:p>
    <w:p w:rsidR="00B34820" w:rsidRDefault="00B34820" w:rsidP="00B34820">
      <w:pPr>
        <w:pStyle w:val="ListParagraph"/>
        <w:numPr>
          <w:ilvl w:val="0"/>
          <w:numId w:val="1"/>
        </w:numPr>
        <w:rPr>
          <w:rFonts w:asciiTheme="majorHAnsi" w:hAnsiTheme="majorHAnsi" w:cs="Arial"/>
        </w:rPr>
      </w:pPr>
      <w:r w:rsidRPr="00B34820">
        <w:rPr>
          <w:rFonts w:asciiTheme="majorHAnsi" w:hAnsiTheme="majorHAnsi" w:cs="Arial"/>
        </w:rPr>
        <w:t xml:space="preserve">El-Bataway MM, Bosseila MA, Mashaly HM and Hafex VS.  Topical calcineurin inhibitors in atopic dermatitis: a systematic review and meta-analysis.  </w:t>
      </w:r>
      <w:r w:rsidRPr="00B34820">
        <w:rPr>
          <w:rFonts w:asciiTheme="majorHAnsi" w:hAnsiTheme="majorHAnsi" w:cs="Arial"/>
          <w:i/>
          <w:iCs/>
        </w:rPr>
        <w:t>Journal of Dermatological Science</w:t>
      </w:r>
      <w:r w:rsidRPr="00B34820">
        <w:rPr>
          <w:rFonts w:asciiTheme="majorHAnsi" w:hAnsiTheme="majorHAnsi" w:cs="Arial"/>
        </w:rPr>
        <w:t xml:space="preserve">, 2009; 54: 76-87 </w:t>
      </w:r>
    </w:p>
    <w:p w:rsidR="00B34820" w:rsidRDefault="00B34820" w:rsidP="00B34820">
      <w:pPr>
        <w:pStyle w:val="ListParagraph"/>
        <w:numPr>
          <w:ilvl w:val="0"/>
          <w:numId w:val="1"/>
        </w:numPr>
        <w:rPr>
          <w:rFonts w:asciiTheme="majorHAnsi" w:hAnsiTheme="majorHAnsi" w:cs="Arial"/>
        </w:rPr>
      </w:pPr>
      <w:r w:rsidRPr="00B34820">
        <w:rPr>
          <w:rFonts w:asciiTheme="majorHAnsi" w:hAnsiTheme="majorHAnsi" w:cs="Arial"/>
        </w:rPr>
        <w:t xml:space="preserve">Hanifin, JM et al. Guidelines of care for atopic dermatitis.  </w:t>
      </w:r>
      <w:r w:rsidRPr="00B34820">
        <w:rPr>
          <w:rFonts w:asciiTheme="majorHAnsi" w:hAnsiTheme="majorHAnsi" w:cs="Arial"/>
          <w:i/>
          <w:iCs/>
        </w:rPr>
        <w:t>Journal of American Academy of Dermatolog</w:t>
      </w:r>
      <w:r w:rsidRPr="00B34820">
        <w:rPr>
          <w:rFonts w:asciiTheme="majorHAnsi" w:hAnsiTheme="majorHAnsi" w:cs="Arial"/>
        </w:rPr>
        <w:t>y 2004; 50: 391-404</w:t>
      </w:r>
    </w:p>
    <w:p w:rsidR="00B34820" w:rsidRDefault="00B34820" w:rsidP="00B34820">
      <w:pPr>
        <w:pStyle w:val="ListParagraph"/>
        <w:numPr>
          <w:ilvl w:val="0"/>
          <w:numId w:val="1"/>
        </w:numPr>
        <w:rPr>
          <w:rFonts w:asciiTheme="majorHAnsi" w:hAnsiTheme="majorHAnsi" w:cs="Arial"/>
        </w:rPr>
      </w:pPr>
      <w:r w:rsidRPr="00B34820">
        <w:rPr>
          <w:rFonts w:asciiTheme="majorHAnsi" w:hAnsiTheme="majorHAnsi" w:cs="Arial"/>
        </w:rPr>
        <w:t xml:space="preserve">Sugarman JL and Parish LC.  Efficacy of lipid based barrier repair formulation in moderate to severe pediatric atopic dermatitis.  </w:t>
      </w:r>
      <w:r w:rsidRPr="00B34820">
        <w:rPr>
          <w:rFonts w:asciiTheme="majorHAnsi" w:hAnsiTheme="majorHAnsi" w:cs="Arial"/>
          <w:i/>
          <w:iCs/>
        </w:rPr>
        <w:t>Journal of drugs and Dermatology</w:t>
      </w:r>
      <w:r w:rsidRPr="00B34820">
        <w:rPr>
          <w:rFonts w:asciiTheme="majorHAnsi" w:hAnsiTheme="majorHAnsi" w:cs="Arial"/>
        </w:rPr>
        <w:t xml:space="preserve">, 2009; 8(12): 1106-1111 </w:t>
      </w:r>
    </w:p>
    <w:p w:rsidR="00B34820" w:rsidRPr="000856BA" w:rsidRDefault="00B34820" w:rsidP="000856BA">
      <w:pPr>
        <w:pStyle w:val="ListParagraph"/>
        <w:numPr>
          <w:ilvl w:val="0"/>
          <w:numId w:val="1"/>
        </w:numPr>
        <w:rPr>
          <w:rFonts w:asciiTheme="majorHAnsi" w:hAnsiTheme="majorHAnsi" w:cs="Arial"/>
        </w:rPr>
      </w:pPr>
      <w:r w:rsidRPr="00B34820">
        <w:rPr>
          <w:rFonts w:asciiTheme="majorHAnsi" w:hAnsiTheme="majorHAnsi" w:cs="Arial"/>
        </w:rPr>
        <w:t xml:space="preserve">Udompataikul M and Srisatwaja W.  Comparative trial of moisturizer containing licochalcone A vs. hydrocortisone lotion in the treatment of childhood atopic dermatitis: a pilot study.  </w:t>
      </w:r>
      <w:r w:rsidRPr="00B34820">
        <w:rPr>
          <w:rFonts w:asciiTheme="majorHAnsi" w:hAnsiTheme="majorHAnsi" w:cs="Arial"/>
          <w:i/>
          <w:iCs/>
        </w:rPr>
        <w:t>Journal of the European Academy of Dermatology and Venereology</w:t>
      </w:r>
      <w:r w:rsidRPr="00B34820">
        <w:rPr>
          <w:rFonts w:asciiTheme="majorHAnsi" w:hAnsiTheme="majorHAnsi" w:cs="Arial"/>
        </w:rPr>
        <w:t xml:space="preserve">, 2011; 25: 660-665 </w:t>
      </w:r>
    </w:p>
    <w:sectPr w:rsidR="00B34820" w:rsidRPr="000856BA" w:rsidSect="007C19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F1" w:rsidRDefault="001D00F1" w:rsidP="007C190D">
      <w:r>
        <w:separator/>
      </w:r>
    </w:p>
  </w:endnote>
  <w:endnote w:type="continuationSeparator" w:id="0">
    <w:p w:rsidR="001D00F1" w:rsidRDefault="001D00F1" w:rsidP="007C1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F1" w:rsidRDefault="00650923" w:rsidP="007C190D">
    <w:pPr>
      <w:pStyle w:val="Footer"/>
      <w:framePr w:wrap="around" w:vAnchor="text" w:hAnchor="margin" w:xAlign="right" w:y="1"/>
      <w:rPr>
        <w:rStyle w:val="PageNumber"/>
      </w:rPr>
    </w:pPr>
    <w:r>
      <w:rPr>
        <w:rStyle w:val="PageNumber"/>
      </w:rPr>
      <w:fldChar w:fldCharType="begin"/>
    </w:r>
    <w:r w:rsidR="001D00F1">
      <w:rPr>
        <w:rStyle w:val="PageNumber"/>
      </w:rPr>
      <w:instrText xml:space="preserve">PAGE  </w:instrText>
    </w:r>
    <w:r>
      <w:rPr>
        <w:rStyle w:val="PageNumber"/>
      </w:rPr>
      <w:fldChar w:fldCharType="end"/>
    </w:r>
  </w:p>
  <w:p w:rsidR="001D00F1" w:rsidRDefault="001D00F1" w:rsidP="007C19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F1" w:rsidRPr="000856BA" w:rsidRDefault="001D00F1" w:rsidP="007C190D">
    <w:pPr>
      <w:pStyle w:val="Footer"/>
      <w:framePr w:wrap="around" w:vAnchor="text" w:hAnchor="margin" w:xAlign="right" w:y="1"/>
      <w:rPr>
        <w:rStyle w:val="PageNumber"/>
        <w:rFonts w:asciiTheme="majorHAnsi" w:hAnsiTheme="majorHAnsi"/>
      </w:rPr>
    </w:pPr>
    <w:r w:rsidRPr="000856BA">
      <w:rPr>
        <w:rStyle w:val="PageNumber"/>
        <w:rFonts w:asciiTheme="majorHAnsi" w:hAnsiTheme="majorHAnsi"/>
      </w:rPr>
      <w:t xml:space="preserve">LNg </w:t>
    </w:r>
    <w:r w:rsidR="00650923" w:rsidRPr="000856BA">
      <w:rPr>
        <w:rStyle w:val="PageNumber"/>
        <w:rFonts w:asciiTheme="majorHAnsi" w:hAnsiTheme="majorHAnsi"/>
      </w:rPr>
      <w:fldChar w:fldCharType="begin"/>
    </w:r>
    <w:r w:rsidRPr="000856BA">
      <w:rPr>
        <w:rStyle w:val="PageNumber"/>
        <w:rFonts w:asciiTheme="majorHAnsi" w:hAnsiTheme="majorHAnsi"/>
      </w:rPr>
      <w:instrText xml:space="preserve">PAGE  </w:instrText>
    </w:r>
    <w:r w:rsidR="00650923" w:rsidRPr="000856BA">
      <w:rPr>
        <w:rStyle w:val="PageNumber"/>
        <w:rFonts w:asciiTheme="majorHAnsi" w:hAnsiTheme="majorHAnsi"/>
      </w:rPr>
      <w:fldChar w:fldCharType="separate"/>
    </w:r>
    <w:r w:rsidR="00103731">
      <w:rPr>
        <w:rStyle w:val="PageNumber"/>
        <w:rFonts w:asciiTheme="majorHAnsi" w:hAnsiTheme="majorHAnsi"/>
        <w:noProof/>
      </w:rPr>
      <w:t>1</w:t>
    </w:r>
    <w:r w:rsidR="00650923" w:rsidRPr="000856BA">
      <w:rPr>
        <w:rStyle w:val="PageNumber"/>
        <w:rFonts w:asciiTheme="majorHAnsi" w:hAnsiTheme="majorHAnsi"/>
      </w:rPr>
      <w:fldChar w:fldCharType="end"/>
    </w:r>
  </w:p>
  <w:p w:rsidR="001D00F1" w:rsidRPr="000856BA" w:rsidRDefault="001D00F1" w:rsidP="007C190D">
    <w:pPr>
      <w:pStyle w:val="Footer"/>
      <w:ind w:right="360"/>
      <w:rPr>
        <w:rFonts w:asciiTheme="majorHAnsi" w:hAnsiTheme="majorHAnsi"/>
      </w:rPr>
    </w:pPr>
    <w:r w:rsidRPr="000856BA">
      <w:rPr>
        <w:rFonts w:asciiTheme="majorHAnsi" w:hAnsiTheme="majorHAnsi"/>
      </w:rPr>
      <w:t>Feb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F1" w:rsidRDefault="001D00F1" w:rsidP="007C190D">
      <w:r>
        <w:separator/>
      </w:r>
    </w:p>
  </w:footnote>
  <w:footnote w:type="continuationSeparator" w:id="0">
    <w:p w:rsidR="001D00F1" w:rsidRDefault="001D00F1" w:rsidP="007C1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3466"/>
    <w:multiLevelType w:val="hybridMultilevel"/>
    <w:tmpl w:val="2E46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useFELayout/>
  </w:compat>
  <w:rsids>
    <w:rsidRoot w:val="009820C4"/>
    <w:rsid w:val="000217AF"/>
    <w:rsid w:val="000856BA"/>
    <w:rsid w:val="00103731"/>
    <w:rsid w:val="001D00F1"/>
    <w:rsid w:val="00324578"/>
    <w:rsid w:val="003A38A5"/>
    <w:rsid w:val="0049409B"/>
    <w:rsid w:val="004A5036"/>
    <w:rsid w:val="004F42F7"/>
    <w:rsid w:val="0056056A"/>
    <w:rsid w:val="00650923"/>
    <w:rsid w:val="007C190D"/>
    <w:rsid w:val="0085721F"/>
    <w:rsid w:val="009820C4"/>
    <w:rsid w:val="00AC1681"/>
    <w:rsid w:val="00B34820"/>
    <w:rsid w:val="00B70FB5"/>
    <w:rsid w:val="00BB7D99"/>
    <w:rsid w:val="00C74F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21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34820"/>
    <w:pPr>
      <w:ind w:left="720"/>
      <w:contextualSpacing/>
    </w:pPr>
  </w:style>
  <w:style w:type="table" w:styleId="LightGrid">
    <w:name w:val="Light Grid"/>
    <w:basedOn w:val="TableNormal"/>
    <w:uiPriority w:val="62"/>
    <w:rsid w:val="007C190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7C190D"/>
    <w:pPr>
      <w:tabs>
        <w:tab w:val="center" w:pos="4320"/>
        <w:tab w:val="right" w:pos="8640"/>
      </w:tabs>
    </w:pPr>
  </w:style>
  <w:style w:type="character" w:customStyle="1" w:styleId="FooterChar">
    <w:name w:val="Footer Char"/>
    <w:basedOn w:val="DefaultParagraphFont"/>
    <w:link w:val="Footer"/>
    <w:uiPriority w:val="99"/>
    <w:rsid w:val="007C190D"/>
  </w:style>
  <w:style w:type="character" w:styleId="PageNumber">
    <w:name w:val="page number"/>
    <w:basedOn w:val="DefaultParagraphFont"/>
    <w:uiPriority w:val="99"/>
    <w:semiHidden/>
    <w:unhideWhenUsed/>
    <w:rsid w:val="007C190D"/>
  </w:style>
  <w:style w:type="paragraph" w:styleId="Header">
    <w:name w:val="header"/>
    <w:basedOn w:val="Normal"/>
    <w:link w:val="HeaderChar"/>
    <w:uiPriority w:val="99"/>
    <w:unhideWhenUsed/>
    <w:rsid w:val="007C190D"/>
    <w:pPr>
      <w:tabs>
        <w:tab w:val="center" w:pos="4320"/>
        <w:tab w:val="right" w:pos="8640"/>
      </w:tabs>
    </w:pPr>
  </w:style>
  <w:style w:type="character" w:customStyle="1" w:styleId="HeaderChar">
    <w:name w:val="Header Char"/>
    <w:basedOn w:val="DefaultParagraphFont"/>
    <w:link w:val="Header"/>
    <w:uiPriority w:val="99"/>
    <w:rsid w:val="007C19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21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34820"/>
    <w:pPr>
      <w:ind w:left="720"/>
      <w:contextualSpacing/>
    </w:pPr>
  </w:style>
  <w:style w:type="table" w:styleId="LightGrid">
    <w:name w:val="Light Grid"/>
    <w:basedOn w:val="TableNormal"/>
    <w:uiPriority w:val="62"/>
    <w:rsid w:val="007C190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7C190D"/>
    <w:pPr>
      <w:tabs>
        <w:tab w:val="center" w:pos="4320"/>
        <w:tab w:val="right" w:pos="8640"/>
      </w:tabs>
    </w:pPr>
  </w:style>
  <w:style w:type="character" w:customStyle="1" w:styleId="FooterChar">
    <w:name w:val="Footer Char"/>
    <w:basedOn w:val="DefaultParagraphFont"/>
    <w:link w:val="Footer"/>
    <w:uiPriority w:val="99"/>
    <w:rsid w:val="007C190D"/>
  </w:style>
  <w:style w:type="character" w:styleId="PageNumber">
    <w:name w:val="page number"/>
    <w:basedOn w:val="DefaultParagraphFont"/>
    <w:uiPriority w:val="99"/>
    <w:semiHidden/>
    <w:unhideWhenUsed/>
    <w:rsid w:val="007C190D"/>
  </w:style>
  <w:style w:type="paragraph" w:styleId="Header">
    <w:name w:val="header"/>
    <w:basedOn w:val="Normal"/>
    <w:link w:val="HeaderChar"/>
    <w:uiPriority w:val="99"/>
    <w:unhideWhenUsed/>
    <w:rsid w:val="007C190D"/>
    <w:pPr>
      <w:tabs>
        <w:tab w:val="center" w:pos="4320"/>
        <w:tab w:val="right" w:pos="8640"/>
      </w:tabs>
    </w:pPr>
  </w:style>
  <w:style w:type="character" w:customStyle="1" w:styleId="HeaderChar">
    <w:name w:val="Header Char"/>
    <w:basedOn w:val="DefaultParagraphFont"/>
    <w:link w:val="Header"/>
    <w:uiPriority w:val="99"/>
    <w:rsid w:val="007C190D"/>
  </w:style>
</w:styles>
</file>

<file path=word/webSettings.xml><?xml version="1.0" encoding="utf-8"?>
<w:webSettings xmlns:r="http://schemas.openxmlformats.org/officeDocument/2006/relationships" xmlns:w="http://schemas.openxmlformats.org/wordprocessingml/2006/main">
  <w:divs>
    <w:div w:id="311562090">
      <w:bodyDiv w:val="1"/>
      <w:marLeft w:val="0"/>
      <w:marRight w:val="0"/>
      <w:marTop w:val="0"/>
      <w:marBottom w:val="0"/>
      <w:divBdr>
        <w:top w:val="none" w:sz="0" w:space="0" w:color="auto"/>
        <w:left w:val="none" w:sz="0" w:space="0" w:color="auto"/>
        <w:bottom w:val="none" w:sz="0" w:space="0" w:color="auto"/>
        <w:right w:val="none" w:sz="0" w:space="0" w:color="auto"/>
      </w:divBdr>
      <w:divsChild>
        <w:div w:id="511139854">
          <w:marLeft w:val="662"/>
          <w:marRight w:val="0"/>
          <w:marTop w:val="125"/>
          <w:marBottom w:val="0"/>
          <w:divBdr>
            <w:top w:val="none" w:sz="0" w:space="0" w:color="auto"/>
            <w:left w:val="none" w:sz="0" w:space="0" w:color="auto"/>
            <w:bottom w:val="none" w:sz="0" w:space="0" w:color="auto"/>
            <w:right w:val="none" w:sz="0" w:space="0" w:color="auto"/>
          </w:divBdr>
        </w:div>
      </w:divsChild>
    </w:div>
    <w:div w:id="684283571">
      <w:bodyDiv w:val="1"/>
      <w:marLeft w:val="0"/>
      <w:marRight w:val="0"/>
      <w:marTop w:val="0"/>
      <w:marBottom w:val="0"/>
      <w:divBdr>
        <w:top w:val="none" w:sz="0" w:space="0" w:color="auto"/>
        <w:left w:val="none" w:sz="0" w:space="0" w:color="auto"/>
        <w:bottom w:val="none" w:sz="0" w:space="0" w:color="auto"/>
        <w:right w:val="none" w:sz="0" w:space="0" w:color="auto"/>
      </w:divBdr>
    </w:div>
    <w:div w:id="1484158878">
      <w:bodyDiv w:val="1"/>
      <w:marLeft w:val="0"/>
      <w:marRight w:val="0"/>
      <w:marTop w:val="0"/>
      <w:marBottom w:val="0"/>
      <w:divBdr>
        <w:top w:val="none" w:sz="0" w:space="0" w:color="auto"/>
        <w:left w:val="none" w:sz="0" w:space="0" w:color="auto"/>
        <w:bottom w:val="none" w:sz="0" w:space="0" w:color="auto"/>
        <w:right w:val="none" w:sz="0" w:space="0" w:color="auto"/>
      </w:divBdr>
      <w:divsChild>
        <w:div w:id="578946418">
          <w:marLeft w:val="1138"/>
          <w:marRight w:val="0"/>
          <w:marTop w:val="115"/>
          <w:marBottom w:val="0"/>
          <w:divBdr>
            <w:top w:val="none" w:sz="0" w:space="0" w:color="auto"/>
            <w:left w:val="none" w:sz="0" w:space="0" w:color="auto"/>
            <w:bottom w:val="none" w:sz="0" w:space="0" w:color="auto"/>
            <w:right w:val="none" w:sz="0" w:space="0" w:color="auto"/>
          </w:divBdr>
        </w:div>
        <w:div w:id="450517376">
          <w:marLeft w:val="1138"/>
          <w:marRight w:val="0"/>
          <w:marTop w:val="115"/>
          <w:marBottom w:val="0"/>
          <w:divBdr>
            <w:top w:val="none" w:sz="0" w:space="0" w:color="auto"/>
            <w:left w:val="none" w:sz="0" w:space="0" w:color="auto"/>
            <w:bottom w:val="none" w:sz="0" w:space="0" w:color="auto"/>
            <w:right w:val="none" w:sz="0" w:space="0" w:color="auto"/>
          </w:divBdr>
        </w:div>
        <w:div w:id="392242771">
          <w:marLeft w:val="1138"/>
          <w:marRight w:val="0"/>
          <w:marTop w:val="115"/>
          <w:marBottom w:val="0"/>
          <w:divBdr>
            <w:top w:val="none" w:sz="0" w:space="0" w:color="auto"/>
            <w:left w:val="none" w:sz="0" w:space="0" w:color="auto"/>
            <w:bottom w:val="none" w:sz="0" w:space="0" w:color="auto"/>
            <w:right w:val="none" w:sz="0" w:space="0" w:color="auto"/>
          </w:divBdr>
        </w:div>
      </w:divsChild>
    </w:div>
    <w:div w:id="1645305679">
      <w:bodyDiv w:val="1"/>
      <w:marLeft w:val="0"/>
      <w:marRight w:val="0"/>
      <w:marTop w:val="0"/>
      <w:marBottom w:val="0"/>
      <w:divBdr>
        <w:top w:val="none" w:sz="0" w:space="0" w:color="auto"/>
        <w:left w:val="none" w:sz="0" w:space="0" w:color="auto"/>
        <w:bottom w:val="none" w:sz="0" w:space="0" w:color="auto"/>
        <w:right w:val="none" w:sz="0" w:space="0" w:color="auto"/>
      </w:divBdr>
    </w:div>
    <w:div w:id="2035881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8123</Characters>
  <Application>Microsoft Office Word</Application>
  <DocSecurity>0</DocSecurity>
  <Lines>67</Lines>
  <Paragraphs>19</Paragraphs>
  <ScaleCrop>false</ScaleCrop>
  <Company>NYCOM</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Ng</dc:creator>
  <cp:keywords/>
  <dc:description/>
  <cp:lastModifiedBy>Boykan, Rachel</cp:lastModifiedBy>
  <cp:revision>2</cp:revision>
  <dcterms:created xsi:type="dcterms:W3CDTF">2012-09-24T17:32:00Z</dcterms:created>
  <dcterms:modified xsi:type="dcterms:W3CDTF">2012-09-24T17:32:00Z</dcterms:modified>
</cp:coreProperties>
</file>