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C2" w:rsidRPr="001375CF" w:rsidRDefault="004D52C2" w:rsidP="004D52C2">
      <w:pPr>
        <w:ind w:left="-360" w:right="-360"/>
        <w:jc w:val="center"/>
        <w:rPr>
          <w:rFonts w:cstheme="minorHAnsi"/>
          <w:sz w:val="20"/>
          <w:szCs w:val="20"/>
          <w:u w:val="single"/>
        </w:rPr>
      </w:pPr>
    </w:p>
    <w:p w:rsidR="004D52C2" w:rsidRPr="001375CF" w:rsidRDefault="004D52C2" w:rsidP="004D52C2">
      <w:pPr>
        <w:ind w:left="-360" w:right="-360"/>
        <w:jc w:val="center"/>
        <w:rPr>
          <w:rFonts w:cstheme="minorHAnsi"/>
          <w:sz w:val="20"/>
          <w:szCs w:val="20"/>
          <w:u w:val="single"/>
        </w:rPr>
      </w:pPr>
      <w:r w:rsidRPr="001375CF">
        <w:rPr>
          <w:rFonts w:cstheme="minorHAnsi"/>
          <w:sz w:val="20"/>
          <w:szCs w:val="20"/>
          <w:u w:val="single"/>
        </w:rPr>
        <w:t xml:space="preserve">ONGOING PROFESSIONAL PRACTICE EVALUATION (OPPE) POLICY </w:t>
      </w:r>
    </w:p>
    <w:p w:rsidR="004D52C2" w:rsidRPr="001375CF" w:rsidRDefault="004D52C2" w:rsidP="004D52C2">
      <w:pPr>
        <w:ind w:left="-360" w:right="-360"/>
        <w:rPr>
          <w:rFonts w:cstheme="minorHAnsi"/>
          <w:sz w:val="20"/>
          <w:szCs w:val="20"/>
          <w:u w:val="single"/>
        </w:rPr>
      </w:pPr>
    </w:p>
    <w:p w:rsidR="004D52C2" w:rsidRPr="001375CF" w:rsidRDefault="004D52C2" w:rsidP="004D52C2">
      <w:pPr>
        <w:ind w:left="-360" w:right="-360" w:firstLine="360"/>
        <w:rPr>
          <w:rFonts w:cstheme="minorHAnsi"/>
          <w:sz w:val="20"/>
          <w:szCs w:val="20"/>
          <w:u w:val="single"/>
        </w:rPr>
      </w:pPr>
      <w:r w:rsidRPr="001375CF">
        <w:rPr>
          <w:rFonts w:cstheme="minorHAnsi"/>
          <w:sz w:val="20"/>
          <w:szCs w:val="20"/>
          <w:u w:val="single"/>
        </w:rPr>
        <w:t>PURPOSE</w:t>
      </w:r>
    </w:p>
    <w:p w:rsidR="004D52C2" w:rsidRPr="001375CF" w:rsidRDefault="004D52C2" w:rsidP="004D52C2">
      <w:pPr>
        <w:ind w:left="-360" w:right="-360"/>
        <w:rPr>
          <w:rFonts w:cstheme="minorHAnsi"/>
          <w:sz w:val="20"/>
          <w:szCs w:val="20"/>
        </w:rPr>
      </w:pPr>
    </w:p>
    <w:p w:rsidR="004D52C2" w:rsidRPr="001375CF" w:rsidRDefault="004D52C2" w:rsidP="004D52C2">
      <w:pPr>
        <w:shd w:val="clear" w:color="auto" w:fill="FFFFFF"/>
        <w:spacing w:after="240" w:line="293" w:lineRule="atLeast"/>
        <w:rPr>
          <w:rFonts w:cstheme="minorHAnsi"/>
          <w:sz w:val="20"/>
          <w:szCs w:val="20"/>
        </w:rPr>
      </w:pPr>
      <w:r w:rsidRPr="001375CF">
        <w:rPr>
          <w:rFonts w:cstheme="minorHAnsi"/>
          <w:sz w:val="20"/>
          <w:szCs w:val="20"/>
        </w:rPr>
        <w:t>OPPE is a screening tool introduced by the Joint Commission in 2007 to evaluate all practitioners who have been granted privileges and to identify those clinicians who might be delivering an unacceptable quality of care. This responsibility falls on the medical staff, which monitors the performance of all practitioners who are granted privileges and makes recommendations to the governing body of the hospital concerning which medical staff members should receive new or maintain existing privileges. </w:t>
      </w:r>
    </w:p>
    <w:p w:rsidR="004D52C2" w:rsidRPr="001375CF" w:rsidRDefault="004D52C2" w:rsidP="004D52C2">
      <w:pPr>
        <w:rPr>
          <w:rFonts w:cstheme="minorHAnsi"/>
          <w:sz w:val="20"/>
          <w:szCs w:val="20"/>
        </w:rPr>
      </w:pPr>
      <w:r w:rsidRPr="001375CF">
        <w:rPr>
          <w:rFonts w:cstheme="minorHAnsi"/>
          <w:sz w:val="20"/>
          <w:szCs w:val="20"/>
        </w:rPr>
        <w:t>FPPE is the follow up process to determine the validity of any outliers (whether true or false) found through OPPE. This process is applied only to the small number of clinicians who were either; identified by OPPE, new to a service or procedure, or to those who cannot be evaluated through OPPE due to insufficient clinical activity within the hospital setting.</w:t>
      </w:r>
    </w:p>
    <w:p w:rsidR="004D52C2" w:rsidRPr="001375CF" w:rsidRDefault="004D52C2" w:rsidP="004D52C2">
      <w:pPr>
        <w:rPr>
          <w:rFonts w:cstheme="minorHAnsi"/>
          <w:sz w:val="20"/>
          <w:szCs w:val="20"/>
        </w:rPr>
      </w:pPr>
    </w:p>
    <w:p w:rsidR="004D52C2" w:rsidRPr="001375CF" w:rsidRDefault="004D52C2" w:rsidP="001375CF">
      <w:pPr>
        <w:ind w:left="-360" w:right="-360" w:firstLine="360"/>
        <w:rPr>
          <w:rFonts w:cstheme="minorHAnsi"/>
          <w:sz w:val="20"/>
          <w:szCs w:val="20"/>
          <w:u w:val="single"/>
        </w:rPr>
      </w:pPr>
      <w:r w:rsidRPr="001375CF">
        <w:rPr>
          <w:rFonts w:cstheme="minorHAnsi"/>
          <w:sz w:val="20"/>
          <w:szCs w:val="20"/>
          <w:u w:val="single"/>
        </w:rPr>
        <w:t>PROCEDURE</w:t>
      </w:r>
    </w:p>
    <w:p w:rsidR="004D52C2" w:rsidRPr="001375CF" w:rsidRDefault="004D52C2" w:rsidP="004D52C2">
      <w:pPr>
        <w:ind w:left="-360" w:right="-360"/>
        <w:rPr>
          <w:rFonts w:cstheme="minorHAnsi"/>
          <w:sz w:val="20"/>
          <w:szCs w:val="20"/>
          <w:u w:val="single"/>
        </w:rPr>
      </w:pPr>
    </w:p>
    <w:p w:rsidR="004D52C2" w:rsidRPr="001375CF" w:rsidRDefault="004D52C2" w:rsidP="004D52C2">
      <w:pPr>
        <w:ind w:right="-360"/>
        <w:rPr>
          <w:rFonts w:cstheme="minorHAnsi"/>
          <w:sz w:val="20"/>
          <w:szCs w:val="20"/>
        </w:rPr>
      </w:pPr>
      <w:r w:rsidRPr="001375CF">
        <w:rPr>
          <w:rFonts w:cstheme="minorHAnsi"/>
          <w:sz w:val="20"/>
          <w:szCs w:val="20"/>
        </w:rPr>
        <w:t xml:space="preserve">The OPPE process will be centralized in and monitored by the Office of the Chief Medical Officer with ongoing practitioner evaluations to be compiled every 8 months. The Chief Medical Officer will provide practitioner specific reports, benchmarked to local/national standards (where applicable), to the </w:t>
      </w:r>
      <w:r w:rsidR="004404DC" w:rsidRPr="001375CF">
        <w:rPr>
          <w:rFonts w:cstheme="minorHAnsi"/>
          <w:sz w:val="20"/>
          <w:szCs w:val="20"/>
        </w:rPr>
        <w:t xml:space="preserve">department Chair. </w:t>
      </w:r>
      <w:r w:rsidRPr="001375CF">
        <w:rPr>
          <w:rFonts w:cstheme="minorHAnsi"/>
          <w:sz w:val="20"/>
          <w:szCs w:val="20"/>
        </w:rPr>
        <w:t>These reports will include a combination of metrics, approved by the Chairs, with a focus on measures of quality of clinical care.</w:t>
      </w:r>
    </w:p>
    <w:p w:rsidR="004D52C2" w:rsidRPr="001375CF" w:rsidRDefault="004D52C2" w:rsidP="004D52C2">
      <w:pPr>
        <w:ind w:left="-360"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Data for these reports will come from various sources, potentially including but not limited to; risk-adjusted outcome measures provided by a third-party vendor, measures defined for the Centers for Medicare and Medicaid Services (CMS) Promoting Interoperability program, and departmental quality metrics. </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Once reports are generated and data are validated, the CMO will distribute the reports to department C</w:t>
      </w:r>
      <w:r w:rsidR="004404DC" w:rsidRPr="001375CF">
        <w:rPr>
          <w:rFonts w:cstheme="minorHAnsi"/>
          <w:sz w:val="20"/>
          <w:szCs w:val="20"/>
        </w:rPr>
        <w:t xml:space="preserve">hairs. The Chair </w:t>
      </w:r>
      <w:r w:rsidRPr="001375CF">
        <w:rPr>
          <w:rFonts w:cstheme="minorHAnsi"/>
          <w:sz w:val="20"/>
          <w:szCs w:val="20"/>
        </w:rPr>
        <w:t xml:space="preserve">is then responsible for disseminating and discussing the findings of the reports with the individual practitioners as well as confirming that the OPPE report appropriately reflects the performance of a practitioner.  </w:t>
      </w:r>
    </w:p>
    <w:p w:rsidR="004D52C2" w:rsidRPr="001375CF" w:rsidRDefault="004D52C2" w:rsidP="004D52C2">
      <w:pPr>
        <w:ind w:right="-360"/>
        <w:rPr>
          <w:rFonts w:cstheme="minorHAnsi"/>
          <w:sz w:val="20"/>
          <w:szCs w:val="20"/>
        </w:rPr>
      </w:pPr>
    </w:p>
    <w:p w:rsidR="004D52C2" w:rsidRPr="001375CF" w:rsidRDefault="004D52C2" w:rsidP="004D52C2">
      <w:pPr>
        <w:rPr>
          <w:rFonts w:cstheme="minorHAnsi"/>
          <w:sz w:val="20"/>
          <w:szCs w:val="20"/>
        </w:rPr>
      </w:pPr>
      <w:r w:rsidRPr="001375CF">
        <w:rPr>
          <w:rFonts w:cstheme="minorHAnsi"/>
          <w:sz w:val="20"/>
          <w:szCs w:val="20"/>
        </w:rPr>
        <w:t xml:space="preserve">The Chair may, for the purposes of a more detailed and useful review, delegate the review process to a Division Chief within the department or a Clinical </w:t>
      </w:r>
      <w:proofErr w:type="gramStart"/>
      <w:r w:rsidRPr="001375CF">
        <w:rPr>
          <w:rFonts w:cstheme="minorHAnsi"/>
          <w:sz w:val="20"/>
          <w:szCs w:val="20"/>
        </w:rPr>
        <w:t>Vice</w:t>
      </w:r>
      <w:proofErr w:type="gramEnd"/>
      <w:r w:rsidRPr="001375CF">
        <w:rPr>
          <w:rFonts w:cstheme="minorHAnsi"/>
          <w:sz w:val="20"/>
          <w:szCs w:val="20"/>
        </w:rPr>
        <w:t xml:space="preserve"> Chair.  </w:t>
      </w:r>
    </w:p>
    <w:p w:rsidR="004D52C2" w:rsidRPr="001375CF" w:rsidRDefault="004D52C2" w:rsidP="004D52C2">
      <w:pPr>
        <w:rPr>
          <w:rFonts w:cstheme="minorHAnsi"/>
          <w:sz w:val="20"/>
          <w:szCs w:val="20"/>
        </w:rPr>
      </w:pPr>
    </w:p>
    <w:p w:rsidR="004D52C2" w:rsidRPr="001375CF" w:rsidRDefault="004D52C2" w:rsidP="004404DC">
      <w:pPr>
        <w:rPr>
          <w:rFonts w:cstheme="minorHAnsi"/>
          <w:sz w:val="20"/>
          <w:szCs w:val="20"/>
        </w:rPr>
      </w:pPr>
      <w:r w:rsidRPr="001375CF">
        <w:rPr>
          <w:rFonts w:cstheme="minorHAnsi"/>
          <w:sz w:val="20"/>
          <w:szCs w:val="20"/>
        </w:rPr>
        <w:t>The Chair or their delegate may, at the time of review, recommend a more focused review of cases to more completely evaluate the practitioner’s overall performance</w:t>
      </w:r>
      <w:r w:rsidR="004404DC" w:rsidRPr="001375CF">
        <w:rPr>
          <w:rFonts w:cstheme="minorHAnsi"/>
          <w:sz w:val="20"/>
          <w:szCs w:val="20"/>
        </w:rPr>
        <w:t>.</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 </w:t>
      </w:r>
      <w:r w:rsidR="004404DC" w:rsidRPr="001375CF">
        <w:rPr>
          <w:rFonts w:cstheme="minorHAnsi"/>
          <w:sz w:val="20"/>
          <w:szCs w:val="20"/>
        </w:rPr>
        <w:t>If the</w:t>
      </w:r>
      <w:r w:rsidRPr="001375CF">
        <w:rPr>
          <w:rFonts w:cstheme="minorHAnsi"/>
          <w:sz w:val="20"/>
          <w:szCs w:val="20"/>
        </w:rPr>
        <w:t xml:space="preserve"> review is completed by a delegate, it is expected that the delegate will report and review recommendations with the Chair for concurrence.  </w:t>
      </w:r>
    </w:p>
    <w:p w:rsidR="004404DC" w:rsidRPr="001375CF" w:rsidRDefault="004404DC" w:rsidP="004D52C2">
      <w:pPr>
        <w:ind w:right="-360"/>
        <w:rPr>
          <w:rFonts w:cstheme="minorHAnsi"/>
          <w:sz w:val="20"/>
          <w:szCs w:val="20"/>
        </w:rPr>
      </w:pPr>
    </w:p>
    <w:p w:rsidR="004D52C2" w:rsidRPr="001375CF" w:rsidRDefault="004D52C2" w:rsidP="004D52C2">
      <w:pPr>
        <w:rPr>
          <w:rFonts w:cstheme="minorHAnsi"/>
          <w:sz w:val="20"/>
          <w:szCs w:val="20"/>
        </w:rPr>
      </w:pPr>
      <w:r w:rsidRPr="001375CF">
        <w:rPr>
          <w:rFonts w:cstheme="minorHAnsi"/>
          <w:sz w:val="20"/>
          <w:szCs w:val="20"/>
        </w:rPr>
        <w:t>Signature by the delegate signifies that review with the Department Chair has occurred and may replace the Chair’s</w:t>
      </w:r>
      <w:r w:rsidR="00EE1A87" w:rsidRPr="001375CF">
        <w:rPr>
          <w:rFonts w:cstheme="minorHAnsi"/>
          <w:sz w:val="20"/>
          <w:szCs w:val="20"/>
        </w:rPr>
        <w:t xml:space="preserve"> signature on the practitioner</w:t>
      </w:r>
      <w:r w:rsidRPr="001375CF">
        <w:rPr>
          <w:rFonts w:cstheme="minorHAnsi"/>
          <w:sz w:val="20"/>
          <w:szCs w:val="20"/>
        </w:rPr>
        <w:t xml:space="preserve"> OPPE form.</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After review and recommendation by the Chair/delegate, the signed OPPE reports will </w:t>
      </w:r>
      <w:r w:rsidR="00EE1A87" w:rsidRPr="001375CF">
        <w:rPr>
          <w:rFonts w:cstheme="minorHAnsi"/>
          <w:sz w:val="20"/>
          <w:szCs w:val="20"/>
        </w:rPr>
        <w:t xml:space="preserve">be </w:t>
      </w:r>
      <w:r w:rsidRPr="001375CF">
        <w:rPr>
          <w:rFonts w:cstheme="minorHAnsi"/>
          <w:sz w:val="20"/>
          <w:szCs w:val="20"/>
        </w:rPr>
        <w:t>submit</w:t>
      </w:r>
      <w:r w:rsidR="00EE1A87" w:rsidRPr="001375CF">
        <w:rPr>
          <w:rFonts w:cstheme="minorHAnsi"/>
          <w:sz w:val="20"/>
          <w:szCs w:val="20"/>
        </w:rPr>
        <w:t>ted</w:t>
      </w:r>
      <w:r w:rsidRPr="001375CF">
        <w:rPr>
          <w:rFonts w:cstheme="minorHAnsi"/>
          <w:sz w:val="20"/>
          <w:szCs w:val="20"/>
        </w:rPr>
        <w:t xml:space="preserve"> to </w:t>
      </w:r>
      <w:proofErr w:type="gramStart"/>
      <w:r w:rsidRPr="001375CF">
        <w:rPr>
          <w:rFonts w:cstheme="minorHAnsi"/>
          <w:sz w:val="20"/>
          <w:szCs w:val="20"/>
        </w:rPr>
        <w:t>the  Office</w:t>
      </w:r>
      <w:proofErr w:type="gramEnd"/>
      <w:r w:rsidRPr="001375CF">
        <w:rPr>
          <w:rFonts w:cstheme="minorHAnsi"/>
          <w:sz w:val="20"/>
          <w:szCs w:val="20"/>
        </w:rPr>
        <w:t xml:space="preserve"> of the CMO, with recommendations for FPPEs for those who fail to meet stan</w:t>
      </w:r>
      <w:r w:rsidR="00EE1A87" w:rsidRPr="001375CF">
        <w:rPr>
          <w:rFonts w:cstheme="minorHAnsi"/>
          <w:sz w:val="20"/>
          <w:szCs w:val="20"/>
        </w:rPr>
        <w:t>d</w:t>
      </w:r>
      <w:r w:rsidRPr="001375CF">
        <w:rPr>
          <w:rFonts w:cstheme="minorHAnsi"/>
          <w:sz w:val="20"/>
          <w:szCs w:val="20"/>
        </w:rPr>
        <w:t>ards</w:t>
      </w:r>
      <w:r w:rsidR="004404DC" w:rsidRPr="001375CF">
        <w:rPr>
          <w:rFonts w:cstheme="minorHAnsi"/>
          <w:sz w:val="20"/>
          <w:szCs w:val="20"/>
        </w:rPr>
        <w:t>.</w:t>
      </w:r>
      <w:r w:rsidRPr="001375CF">
        <w:rPr>
          <w:rFonts w:cstheme="minorHAnsi"/>
          <w:sz w:val="20"/>
          <w:szCs w:val="20"/>
        </w:rPr>
        <w:t xml:space="preserve"> </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The FPPE reports must be completed within the 8 month cycle and reported back by the Chair/delegate to the Office of the CMO within that period. </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 Appeals will be handled by the Chair/delegate.</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 xml:space="preserve">Both the CMO and the Chair/delegate must concur on the final reports of OPPE and FPPE, or the case will be sent to Medical Board for review.  </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The final OPPE and FPPE reports will be submitted to the Medical Staff Offi</w:t>
      </w:r>
      <w:r w:rsidR="00EE1A87" w:rsidRPr="001375CF">
        <w:rPr>
          <w:rFonts w:cstheme="minorHAnsi"/>
          <w:sz w:val="20"/>
          <w:szCs w:val="20"/>
        </w:rPr>
        <w:t>ce to be used at the time of re</w:t>
      </w:r>
      <w:r w:rsidRPr="001375CF">
        <w:rPr>
          <w:rFonts w:cstheme="minorHAnsi"/>
          <w:sz w:val="20"/>
          <w:szCs w:val="20"/>
        </w:rPr>
        <w:t>appointment.</w:t>
      </w:r>
    </w:p>
    <w:p w:rsidR="004D52C2" w:rsidRPr="001375CF" w:rsidRDefault="004D52C2"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All data pertinent to the OPPE process will be stored and maintained in a secure environment under the supervision of the Stony Brook CIO or his/her deputy.</w:t>
      </w:r>
    </w:p>
    <w:p w:rsidR="004D52C2" w:rsidRPr="001375CF" w:rsidRDefault="004D52C2" w:rsidP="004D52C2">
      <w:pPr>
        <w:ind w:right="-360"/>
        <w:rPr>
          <w:rFonts w:cstheme="minorHAnsi"/>
          <w:sz w:val="20"/>
          <w:szCs w:val="20"/>
        </w:rPr>
      </w:pPr>
    </w:p>
    <w:p w:rsidR="00EE1A87" w:rsidRPr="001375CF" w:rsidRDefault="004D52C2" w:rsidP="004D52C2">
      <w:pPr>
        <w:ind w:right="-360"/>
        <w:rPr>
          <w:rFonts w:cstheme="minorHAnsi"/>
          <w:sz w:val="20"/>
          <w:szCs w:val="20"/>
        </w:rPr>
      </w:pPr>
      <w:r w:rsidRPr="001375CF">
        <w:rPr>
          <w:rFonts w:cstheme="minorHAnsi"/>
          <w:sz w:val="20"/>
          <w:szCs w:val="20"/>
        </w:rPr>
        <w:t xml:space="preserve">Those practitioners on whom an OPPE cannot be performed due to lack of identifiable Clinical Activity must be identified.  Those Voluntary Faculty on whom an OPPE report cannot be generated will be moved to affiliate referring status.  </w:t>
      </w:r>
    </w:p>
    <w:p w:rsidR="00EE1A87" w:rsidRPr="001375CF" w:rsidRDefault="00EE1A87" w:rsidP="004D52C2">
      <w:pPr>
        <w:ind w:right="-360"/>
        <w:rPr>
          <w:rFonts w:cstheme="minorHAnsi"/>
          <w:sz w:val="20"/>
          <w:szCs w:val="20"/>
        </w:rPr>
      </w:pPr>
    </w:p>
    <w:p w:rsidR="004D52C2" w:rsidRPr="001375CF" w:rsidRDefault="004D52C2" w:rsidP="004D52C2">
      <w:pPr>
        <w:ind w:right="-360"/>
        <w:rPr>
          <w:rFonts w:cstheme="minorHAnsi"/>
          <w:sz w:val="20"/>
          <w:szCs w:val="20"/>
        </w:rPr>
      </w:pPr>
      <w:r w:rsidRPr="001375CF">
        <w:rPr>
          <w:rFonts w:cstheme="minorHAnsi"/>
          <w:sz w:val="20"/>
          <w:szCs w:val="20"/>
        </w:rPr>
        <w:t>Stony Brook full-time faculty and those in the Stony Brook Network (Captive) on whom there is insufficient data to perform an OPPE will be notified, as will their Chairs/delegates</w:t>
      </w:r>
      <w:r w:rsidR="00EE1A87" w:rsidRPr="001375CF">
        <w:rPr>
          <w:rFonts w:cstheme="minorHAnsi"/>
          <w:sz w:val="20"/>
          <w:szCs w:val="20"/>
        </w:rPr>
        <w:t xml:space="preserve">. </w:t>
      </w:r>
      <w:r w:rsidRPr="001375CF">
        <w:rPr>
          <w:rFonts w:cstheme="minorHAnsi"/>
          <w:sz w:val="20"/>
          <w:szCs w:val="20"/>
        </w:rPr>
        <w:t xml:space="preserve"> An immediate FPPE will be triggered at the time of commencement of any clinical activity. </w:t>
      </w:r>
    </w:p>
    <w:p w:rsidR="004D52C2" w:rsidRPr="001375CF" w:rsidRDefault="004D52C2" w:rsidP="004D52C2">
      <w:pPr>
        <w:rPr>
          <w:rFonts w:cstheme="minorHAnsi"/>
          <w:sz w:val="20"/>
          <w:szCs w:val="20"/>
        </w:rPr>
      </w:pPr>
    </w:p>
    <w:p w:rsidR="009918BE" w:rsidRPr="005D4041" w:rsidRDefault="009918BE" w:rsidP="009918BE">
      <w:pPr>
        <w:rPr>
          <w:rFonts w:cstheme="minorHAnsi"/>
          <w:sz w:val="20"/>
          <w:szCs w:val="20"/>
        </w:rPr>
      </w:pPr>
      <w:bookmarkStart w:id="0" w:name="_GoBack"/>
      <w:r w:rsidRPr="005D4041">
        <w:rPr>
          <w:rFonts w:cstheme="minorHAnsi"/>
          <w:sz w:val="20"/>
          <w:szCs w:val="20"/>
        </w:rPr>
        <w:lastRenderedPageBreak/>
        <w:t>OPPE for the following allied health professionals will be completed utilizing the process delineated above (same as process for physicians)</w:t>
      </w:r>
    </w:p>
    <w:p w:rsidR="009918BE" w:rsidRPr="005D4041" w:rsidRDefault="009918BE" w:rsidP="009918BE">
      <w:pPr>
        <w:rPr>
          <w:rFonts w:cstheme="minorHAnsi"/>
          <w:sz w:val="20"/>
          <w:szCs w:val="20"/>
        </w:rPr>
      </w:pPr>
      <w:r w:rsidRPr="005D4041">
        <w:rPr>
          <w:rFonts w:cstheme="minorHAnsi"/>
          <w:sz w:val="20"/>
          <w:szCs w:val="20"/>
        </w:rPr>
        <w:tab/>
        <w:t>Midwives</w:t>
      </w:r>
    </w:p>
    <w:p w:rsidR="009918BE" w:rsidRPr="005D4041" w:rsidRDefault="009918BE" w:rsidP="009918BE">
      <w:pPr>
        <w:rPr>
          <w:rFonts w:cstheme="minorHAnsi"/>
          <w:sz w:val="20"/>
          <w:szCs w:val="20"/>
        </w:rPr>
      </w:pPr>
      <w:r w:rsidRPr="005D4041">
        <w:rPr>
          <w:rFonts w:cstheme="minorHAnsi"/>
          <w:sz w:val="20"/>
          <w:szCs w:val="20"/>
        </w:rPr>
        <w:tab/>
        <w:t>Speech Pathologists</w:t>
      </w:r>
    </w:p>
    <w:p w:rsidR="009918BE" w:rsidRPr="005D4041" w:rsidRDefault="009918BE" w:rsidP="009918BE">
      <w:pPr>
        <w:rPr>
          <w:rFonts w:cstheme="minorHAnsi"/>
          <w:sz w:val="20"/>
          <w:szCs w:val="20"/>
        </w:rPr>
      </w:pPr>
      <w:r w:rsidRPr="005D4041">
        <w:rPr>
          <w:rFonts w:cstheme="minorHAnsi"/>
          <w:sz w:val="20"/>
          <w:szCs w:val="20"/>
        </w:rPr>
        <w:tab/>
        <w:t>Audiologists</w:t>
      </w:r>
    </w:p>
    <w:p w:rsidR="009918BE" w:rsidRPr="005D4041" w:rsidRDefault="009918BE" w:rsidP="009918BE">
      <w:pPr>
        <w:rPr>
          <w:rFonts w:cstheme="minorHAnsi"/>
          <w:sz w:val="20"/>
          <w:szCs w:val="20"/>
        </w:rPr>
      </w:pPr>
      <w:r w:rsidRPr="005D4041">
        <w:rPr>
          <w:rFonts w:cstheme="minorHAnsi"/>
          <w:sz w:val="20"/>
          <w:szCs w:val="20"/>
        </w:rPr>
        <w:tab/>
        <w:t>Psychologists</w:t>
      </w:r>
    </w:p>
    <w:p w:rsidR="009918BE" w:rsidRPr="005D4041" w:rsidRDefault="009918BE" w:rsidP="009918BE">
      <w:pPr>
        <w:rPr>
          <w:rFonts w:cstheme="minorHAnsi"/>
          <w:sz w:val="20"/>
          <w:szCs w:val="20"/>
        </w:rPr>
      </w:pPr>
      <w:r w:rsidRPr="005D4041">
        <w:rPr>
          <w:rFonts w:cstheme="minorHAnsi"/>
          <w:sz w:val="20"/>
          <w:szCs w:val="20"/>
        </w:rPr>
        <w:tab/>
        <w:t>Optometrists</w:t>
      </w:r>
      <w:r w:rsidRPr="005D4041">
        <w:rPr>
          <w:rFonts w:cstheme="minorHAnsi"/>
          <w:sz w:val="20"/>
          <w:szCs w:val="20"/>
        </w:rPr>
        <w:tab/>
      </w:r>
    </w:p>
    <w:p w:rsidR="009918BE" w:rsidRPr="005D4041" w:rsidRDefault="009918BE" w:rsidP="009918BE">
      <w:pPr>
        <w:rPr>
          <w:rFonts w:cstheme="minorHAnsi"/>
          <w:sz w:val="20"/>
          <w:szCs w:val="20"/>
        </w:rPr>
      </w:pPr>
    </w:p>
    <w:p w:rsidR="009918BE" w:rsidRPr="005D4041" w:rsidRDefault="009918BE" w:rsidP="009918BE">
      <w:pPr>
        <w:rPr>
          <w:rFonts w:cstheme="minorHAnsi"/>
          <w:sz w:val="20"/>
          <w:szCs w:val="20"/>
        </w:rPr>
      </w:pPr>
    </w:p>
    <w:p w:rsidR="009918BE" w:rsidRPr="005D4041" w:rsidRDefault="009918BE" w:rsidP="009918BE">
      <w:pPr>
        <w:rPr>
          <w:rFonts w:cstheme="minorHAnsi"/>
          <w:sz w:val="20"/>
          <w:szCs w:val="20"/>
        </w:rPr>
      </w:pPr>
      <w:r w:rsidRPr="005D4041">
        <w:rPr>
          <w:rFonts w:cstheme="minorHAnsi"/>
          <w:sz w:val="20"/>
          <w:szCs w:val="20"/>
        </w:rPr>
        <w:t>The following OPPE process will be utilized for CRNAs, Physician Assistants, Nurse Practitioners, Social Workers, Neuropsychologists and RN First Assists.</w:t>
      </w:r>
    </w:p>
    <w:bookmarkEnd w:id="0"/>
    <w:p w:rsidR="009918BE" w:rsidRDefault="009918BE" w:rsidP="009918BE">
      <w:pPr>
        <w:rPr>
          <w:rFonts w:cstheme="minorHAnsi"/>
          <w:sz w:val="20"/>
          <w:szCs w:val="20"/>
        </w:rPr>
      </w:pPr>
    </w:p>
    <w:p w:rsidR="009918BE" w:rsidRPr="001375CF" w:rsidRDefault="009918BE" w:rsidP="009918BE">
      <w:pPr>
        <w:rPr>
          <w:rFonts w:cstheme="minorHAnsi"/>
          <w:sz w:val="20"/>
          <w:szCs w:val="20"/>
        </w:rPr>
      </w:pPr>
      <w:r w:rsidRPr="001375CF">
        <w:rPr>
          <w:rFonts w:cstheme="minorHAnsi"/>
          <w:sz w:val="20"/>
          <w:szCs w:val="20"/>
        </w:rPr>
        <w:t>Every 8 months an OPPE evaluation form will be distributed to the collaborating/supervising physician</w:t>
      </w:r>
      <w:r>
        <w:rPr>
          <w:rFonts w:cstheme="minorHAnsi"/>
          <w:sz w:val="20"/>
          <w:szCs w:val="20"/>
        </w:rPr>
        <w:t xml:space="preserve">.  </w:t>
      </w:r>
      <w:r w:rsidRPr="001375CF">
        <w:rPr>
          <w:rFonts w:cstheme="minorHAnsi"/>
          <w:sz w:val="20"/>
          <w:szCs w:val="20"/>
        </w:rPr>
        <w:t>The OPPE form will be an assessment of the five competencies:</w:t>
      </w:r>
      <w:r w:rsidRPr="001375CF">
        <w:rPr>
          <w:rFonts w:cstheme="minorHAnsi"/>
          <w:sz w:val="20"/>
          <w:szCs w:val="20"/>
        </w:rPr>
        <w:tab/>
      </w:r>
    </w:p>
    <w:p w:rsidR="009918BE" w:rsidRPr="001375CF" w:rsidRDefault="009918BE" w:rsidP="009918BE">
      <w:pPr>
        <w:ind w:firstLine="720"/>
        <w:rPr>
          <w:rFonts w:cstheme="minorHAnsi"/>
          <w:sz w:val="20"/>
          <w:szCs w:val="20"/>
        </w:rPr>
      </w:pPr>
      <w:r w:rsidRPr="001375CF">
        <w:rPr>
          <w:rFonts w:cstheme="minorHAnsi"/>
          <w:sz w:val="20"/>
          <w:szCs w:val="20"/>
        </w:rPr>
        <w:t>Medical/Clinical Knowledge</w:t>
      </w:r>
    </w:p>
    <w:p w:rsidR="009918BE" w:rsidRPr="001375CF" w:rsidRDefault="009918BE" w:rsidP="009918BE">
      <w:pPr>
        <w:ind w:firstLine="720"/>
        <w:rPr>
          <w:rFonts w:cstheme="minorHAnsi"/>
          <w:sz w:val="20"/>
          <w:szCs w:val="20"/>
        </w:rPr>
      </w:pPr>
      <w:r w:rsidRPr="001375CF">
        <w:rPr>
          <w:rFonts w:cstheme="minorHAnsi"/>
          <w:sz w:val="20"/>
          <w:szCs w:val="20"/>
        </w:rPr>
        <w:t>Technical/Clinical Skills</w:t>
      </w:r>
    </w:p>
    <w:p w:rsidR="009918BE" w:rsidRPr="001375CF" w:rsidRDefault="009918BE" w:rsidP="009918BE">
      <w:pPr>
        <w:ind w:firstLine="720"/>
        <w:rPr>
          <w:rFonts w:cstheme="minorHAnsi"/>
          <w:sz w:val="20"/>
          <w:szCs w:val="20"/>
        </w:rPr>
      </w:pPr>
      <w:r w:rsidRPr="001375CF">
        <w:rPr>
          <w:rFonts w:cstheme="minorHAnsi"/>
          <w:sz w:val="20"/>
          <w:szCs w:val="20"/>
        </w:rPr>
        <w:t xml:space="preserve">Clinical Judgment </w:t>
      </w:r>
    </w:p>
    <w:p w:rsidR="009918BE" w:rsidRPr="001375CF" w:rsidRDefault="009918BE" w:rsidP="009918BE">
      <w:pPr>
        <w:ind w:firstLine="720"/>
        <w:rPr>
          <w:rFonts w:cstheme="minorHAnsi"/>
          <w:sz w:val="20"/>
          <w:szCs w:val="20"/>
        </w:rPr>
      </w:pPr>
      <w:r w:rsidRPr="001375CF">
        <w:rPr>
          <w:rFonts w:cstheme="minorHAnsi"/>
          <w:sz w:val="20"/>
          <w:szCs w:val="20"/>
        </w:rPr>
        <w:t>Interpersonal Skills</w:t>
      </w:r>
    </w:p>
    <w:p w:rsidR="009918BE" w:rsidRPr="001375CF" w:rsidRDefault="009918BE" w:rsidP="009918BE">
      <w:pPr>
        <w:ind w:firstLine="720"/>
        <w:rPr>
          <w:rFonts w:cstheme="minorHAnsi"/>
          <w:sz w:val="20"/>
          <w:szCs w:val="20"/>
        </w:rPr>
      </w:pPr>
      <w:r w:rsidRPr="001375CF">
        <w:rPr>
          <w:rFonts w:cstheme="minorHAnsi"/>
          <w:sz w:val="20"/>
          <w:szCs w:val="20"/>
        </w:rPr>
        <w:t>Communication Skill</w:t>
      </w:r>
    </w:p>
    <w:p w:rsidR="009918BE" w:rsidRPr="001375CF" w:rsidRDefault="009918BE" w:rsidP="009918BE">
      <w:pPr>
        <w:ind w:firstLine="720"/>
        <w:rPr>
          <w:rFonts w:cstheme="minorHAnsi"/>
          <w:sz w:val="20"/>
          <w:szCs w:val="20"/>
        </w:rPr>
      </w:pPr>
      <w:r w:rsidRPr="001375CF">
        <w:rPr>
          <w:rFonts w:cstheme="minorHAnsi"/>
          <w:sz w:val="20"/>
          <w:szCs w:val="20"/>
        </w:rPr>
        <w:t>Professionalism</w:t>
      </w:r>
    </w:p>
    <w:p w:rsidR="009918BE" w:rsidRPr="001375CF" w:rsidRDefault="009918BE" w:rsidP="009918BE">
      <w:pPr>
        <w:rPr>
          <w:rFonts w:cstheme="minorHAnsi"/>
          <w:sz w:val="20"/>
          <w:szCs w:val="20"/>
        </w:rPr>
      </w:pPr>
      <w:r w:rsidRPr="001375CF">
        <w:rPr>
          <w:rFonts w:cstheme="minorHAnsi"/>
          <w:sz w:val="20"/>
          <w:szCs w:val="20"/>
        </w:rPr>
        <w:t xml:space="preserve">Assessment of clinical competence for privileges, quality issues, physical mental ability, areas of deficiency and recommended corrective action will also be evaluated. </w:t>
      </w:r>
    </w:p>
    <w:p w:rsidR="009918BE" w:rsidRPr="001375CF" w:rsidRDefault="009918BE" w:rsidP="009918BE">
      <w:pPr>
        <w:rPr>
          <w:rFonts w:cstheme="minorHAnsi"/>
          <w:sz w:val="20"/>
          <w:szCs w:val="20"/>
        </w:rPr>
      </w:pPr>
    </w:p>
    <w:p w:rsidR="009918BE" w:rsidRPr="001375CF" w:rsidRDefault="009918BE" w:rsidP="009918BE">
      <w:pPr>
        <w:rPr>
          <w:rFonts w:cstheme="minorHAnsi"/>
          <w:sz w:val="20"/>
          <w:szCs w:val="20"/>
        </w:rPr>
      </w:pPr>
      <w:r w:rsidRPr="001375CF">
        <w:rPr>
          <w:rFonts w:cstheme="minorHAnsi"/>
          <w:sz w:val="20"/>
          <w:szCs w:val="20"/>
        </w:rPr>
        <w:t xml:space="preserve">The completed form is returned to the Medical Staff Office.  Any areas of concern are directed to the Chief Medical Officer.  </w:t>
      </w:r>
    </w:p>
    <w:p w:rsidR="009918BE" w:rsidRPr="001375CF" w:rsidRDefault="009918BE" w:rsidP="009918BE">
      <w:pPr>
        <w:rPr>
          <w:rFonts w:cstheme="minorHAnsi"/>
          <w:sz w:val="20"/>
          <w:szCs w:val="20"/>
        </w:rPr>
      </w:pPr>
    </w:p>
    <w:p w:rsidR="009918BE" w:rsidRPr="001375CF" w:rsidRDefault="009918BE" w:rsidP="009918BE">
      <w:pPr>
        <w:rPr>
          <w:rFonts w:cstheme="minorHAnsi"/>
          <w:sz w:val="20"/>
          <w:szCs w:val="20"/>
        </w:rPr>
      </w:pPr>
      <w:r w:rsidRPr="001375CF">
        <w:rPr>
          <w:rFonts w:cstheme="minorHAnsi"/>
          <w:sz w:val="20"/>
          <w:szCs w:val="20"/>
        </w:rPr>
        <w:t>The completed form is included in the reappointment.</w:t>
      </w:r>
    </w:p>
    <w:p w:rsidR="009918BE" w:rsidRPr="009918BE" w:rsidRDefault="009918BE">
      <w:pPr>
        <w:rPr>
          <w:rFonts w:cstheme="minorHAnsi"/>
          <w:color w:val="FF0000"/>
          <w:sz w:val="20"/>
          <w:szCs w:val="20"/>
        </w:rPr>
      </w:pPr>
    </w:p>
    <w:p w:rsidR="001375CF" w:rsidRPr="001375CF" w:rsidRDefault="001375CF" w:rsidP="005F1892">
      <w:pPr>
        <w:rPr>
          <w:rFonts w:cstheme="minorHAnsi"/>
          <w:sz w:val="20"/>
          <w:szCs w:val="20"/>
        </w:rPr>
      </w:pPr>
    </w:p>
    <w:p w:rsidR="001375CF" w:rsidRPr="001375CF" w:rsidRDefault="001375CF" w:rsidP="005F1892">
      <w:pPr>
        <w:rPr>
          <w:rFonts w:cstheme="minorHAnsi"/>
          <w:sz w:val="20"/>
          <w:szCs w:val="20"/>
        </w:rPr>
      </w:pPr>
      <w:r w:rsidRPr="001375CF">
        <w:rPr>
          <w:rFonts w:cstheme="minorHAnsi"/>
          <w:sz w:val="20"/>
          <w:szCs w:val="20"/>
        </w:rPr>
        <w:t>January 2015</w:t>
      </w:r>
    </w:p>
    <w:p w:rsidR="001375CF" w:rsidRPr="001375CF" w:rsidRDefault="001375CF" w:rsidP="005F1892">
      <w:pPr>
        <w:rPr>
          <w:rFonts w:cstheme="minorHAnsi"/>
          <w:sz w:val="20"/>
          <w:szCs w:val="20"/>
        </w:rPr>
      </w:pPr>
      <w:r w:rsidRPr="001375CF">
        <w:rPr>
          <w:rFonts w:cstheme="minorHAnsi"/>
          <w:sz w:val="20"/>
          <w:szCs w:val="20"/>
        </w:rPr>
        <w:t>October 2016</w:t>
      </w:r>
    </w:p>
    <w:p w:rsidR="001375CF" w:rsidRDefault="001375CF" w:rsidP="005F1892">
      <w:pPr>
        <w:rPr>
          <w:rFonts w:cstheme="minorHAnsi"/>
          <w:sz w:val="20"/>
          <w:szCs w:val="20"/>
        </w:rPr>
      </w:pPr>
      <w:r w:rsidRPr="001375CF">
        <w:rPr>
          <w:rFonts w:cstheme="minorHAnsi"/>
          <w:sz w:val="20"/>
          <w:szCs w:val="20"/>
        </w:rPr>
        <w:t>February 2021</w:t>
      </w:r>
    </w:p>
    <w:p w:rsidR="003A541D" w:rsidRPr="001375CF" w:rsidRDefault="003A541D" w:rsidP="005F1892">
      <w:pPr>
        <w:rPr>
          <w:rFonts w:cstheme="minorHAnsi"/>
          <w:spacing w:val="-3"/>
          <w:sz w:val="20"/>
          <w:szCs w:val="20"/>
        </w:rPr>
      </w:pPr>
      <w:r>
        <w:rPr>
          <w:rFonts w:cstheme="minorHAnsi"/>
          <w:sz w:val="20"/>
          <w:szCs w:val="20"/>
        </w:rPr>
        <w:t>December 2021</w:t>
      </w:r>
    </w:p>
    <w:p w:rsidR="005F1892" w:rsidRPr="001375CF" w:rsidRDefault="005F1892" w:rsidP="005F1892">
      <w:pPr>
        <w:rPr>
          <w:rFonts w:cstheme="minorHAnsi"/>
          <w:sz w:val="20"/>
          <w:szCs w:val="20"/>
        </w:rPr>
      </w:pPr>
    </w:p>
    <w:sectPr w:rsidR="005F1892" w:rsidRPr="001375CF" w:rsidSect="001375C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07B56"/>
    <w:multiLevelType w:val="hybridMultilevel"/>
    <w:tmpl w:val="9B56C7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C2"/>
    <w:rsid w:val="001375CF"/>
    <w:rsid w:val="002703E8"/>
    <w:rsid w:val="003A541D"/>
    <w:rsid w:val="00420313"/>
    <w:rsid w:val="004404DC"/>
    <w:rsid w:val="004D52C2"/>
    <w:rsid w:val="005D4041"/>
    <w:rsid w:val="005F1892"/>
    <w:rsid w:val="00877965"/>
    <w:rsid w:val="00962CDD"/>
    <w:rsid w:val="009918BE"/>
    <w:rsid w:val="00C67F40"/>
    <w:rsid w:val="00DD5552"/>
    <w:rsid w:val="00EE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F6183-21B7-4F4E-B9F5-7A56566F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8BE"/>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5F1892"/>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5F189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3962">
      <w:bodyDiv w:val="1"/>
      <w:marLeft w:val="0"/>
      <w:marRight w:val="0"/>
      <w:marTop w:val="0"/>
      <w:marBottom w:val="0"/>
      <w:divBdr>
        <w:top w:val="none" w:sz="0" w:space="0" w:color="auto"/>
        <w:left w:val="none" w:sz="0" w:space="0" w:color="auto"/>
        <w:bottom w:val="none" w:sz="0" w:space="0" w:color="auto"/>
        <w:right w:val="none" w:sz="0" w:space="0" w:color="auto"/>
      </w:divBdr>
    </w:div>
    <w:div w:id="187684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Joyce</dc:creator>
  <cp:keywords/>
  <dc:description/>
  <cp:lastModifiedBy>Coppola, Laura</cp:lastModifiedBy>
  <cp:revision>2</cp:revision>
  <dcterms:created xsi:type="dcterms:W3CDTF">2022-01-19T20:32:00Z</dcterms:created>
  <dcterms:modified xsi:type="dcterms:W3CDTF">2022-01-19T20:32:00Z</dcterms:modified>
</cp:coreProperties>
</file>