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AD" w:rsidRPr="004A5C4C" w:rsidRDefault="00EA4ABD" w:rsidP="00EA4A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A5C4C">
        <w:rPr>
          <w:rFonts w:ascii="Times New Roman" w:hAnsi="Times New Roman" w:cs="Times New Roman"/>
        </w:rPr>
        <w:t>The Effectiveness of Medication for the Treatment of Anorexia in Adolescents</w:t>
      </w:r>
    </w:p>
    <w:p w:rsidR="00EA4ABD" w:rsidRPr="004A5C4C" w:rsidRDefault="00EA4ABD" w:rsidP="00EA4A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A4ABD" w:rsidRPr="004A5C4C" w:rsidRDefault="00EA4ABD" w:rsidP="00EA4A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4A5C4C">
        <w:rPr>
          <w:rFonts w:ascii="Times New Roman" w:hAnsi="Times New Roman" w:cs="Times New Roman"/>
        </w:rPr>
        <w:t>Orquidia</w:t>
      </w:r>
      <w:proofErr w:type="spellEnd"/>
      <w:r w:rsidRPr="004A5C4C">
        <w:rPr>
          <w:rFonts w:ascii="Times New Roman" w:hAnsi="Times New Roman" w:cs="Times New Roman"/>
        </w:rPr>
        <w:t xml:space="preserve"> Torres, MD</w:t>
      </w:r>
    </w:p>
    <w:p w:rsidR="00EA4ABD" w:rsidRPr="004A5C4C" w:rsidRDefault="00EA4ABD" w:rsidP="00EA4A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A5C4C">
        <w:rPr>
          <w:rFonts w:ascii="Times New Roman" w:hAnsi="Times New Roman" w:cs="Times New Roman"/>
        </w:rPr>
        <w:t>April 2013</w:t>
      </w:r>
    </w:p>
    <w:p w:rsidR="00EA4ABD" w:rsidRPr="004A5C4C" w:rsidRDefault="00EA4ABD" w:rsidP="00EA4ABD">
      <w:pPr>
        <w:spacing w:line="240" w:lineRule="auto"/>
        <w:contextualSpacing/>
        <w:jc w:val="center"/>
      </w:pPr>
    </w:p>
    <w:p w:rsidR="004A5C4C" w:rsidRPr="004A5C4C" w:rsidRDefault="00EA4ABD" w:rsidP="0053327E">
      <w:pPr>
        <w:spacing w:line="240" w:lineRule="auto"/>
        <w:contextualSpacing/>
        <w:rPr>
          <w:rFonts w:ascii="Times New Roman" w:hAnsi="Times New Roman" w:cs="Times New Roman"/>
        </w:rPr>
      </w:pPr>
      <w:r w:rsidRPr="004A5C4C">
        <w:tab/>
      </w:r>
      <w:r w:rsidRPr="004A5C4C">
        <w:rPr>
          <w:rFonts w:ascii="Times New Roman" w:hAnsi="Times New Roman" w:cs="Times New Roman"/>
        </w:rPr>
        <w:t xml:space="preserve">Anorexia nervosa </w:t>
      </w:r>
      <w:r w:rsidR="0006597E" w:rsidRPr="004A5C4C">
        <w:rPr>
          <w:rFonts w:ascii="Times New Roman" w:hAnsi="Times New Roman" w:cs="Times New Roman"/>
        </w:rPr>
        <w:t>is an eating disorder that can affect multiple organ systems and results in high morbidity/mortality rates (10-20%) and treatment costs.  Although this illness is rare, incidence and prevalence rates have been increasing.  This is likely attributed to society, the media, and incr</w:t>
      </w:r>
      <w:r w:rsidR="00A86754" w:rsidRPr="004A5C4C">
        <w:rPr>
          <w:rFonts w:ascii="Times New Roman" w:hAnsi="Times New Roman" w:cs="Times New Roman"/>
        </w:rPr>
        <w:t xml:space="preserve">easing </w:t>
      </w:r>
      <w:r w:rsidR="004A5C4C" w:rsidRPr="004A5C4C">
        <w:rPr>
          <w:rFonts w:ascii="Times New Roman" w:hAnsi="Times New Roman" w:cs="Times New Roman"/>
        </w:rPr>
        <w:t xml:space="preserve">rates of </w:t>
      </w:r>
      <w:r w:rsidR="00A86754" w:rsidRPr="004A5C4C">
        <w:rPr>
          <w:rFonts w:ascii="Times New Roman" w:hAnsi="Times New Roman" w:cs="Times New Roman"/>
        </w:rPr>
        <w:t>childhood obe</w:t>
      </w:r>
      <w:r w:rsidR="00FB62A7" w:rsidRPr="004A5C4C">
        <w:rPr>
          <w:rFonts w:ascii="Times New Roman" w:hAnsi="Times New Roman" w:cs="Times New Roman"/>
        </w:rPr>
        <w:t>sity, in which dieting becomes a large risk factor</w:t>
      </w:r>
      <w:r w:rsidR="00A86754" w:rsidRPr="004A5C4C">
        <w:rPr>
          <w:rFonts w:ascii="Times New Roman" w:hAnsi="Times New Roman" w:cs="Times New Roman"/>
        </w:rPr>
        <w:t xml:space="preserve">.  The standard treatment for anorexia involves </w:t>
      </w:r>
      <w:proofErr w:type="spellStart"/>
      <w:r w:rsidR="00A86754" w:rsidRPr="004A5C4C">
        <w:rPr>
          <w:rFonts w:ascii="Times New Roman" w:hAnsi="Times New Roman" w:cs="Times New Roman"/>
        </w:rPr>
        <w:t>refeeding</w:t>
      </w:r>
      <w:proofErr w:type="spellEnd"/>
      <w:r w:rsidR="00A86754" w:rsidRPr="004A5C4C">
        <w:rPr>
          <w:rFonts w:ascii="Times New Roman" w:hAnsi="Times New Roman" w:cs="Times New Roman"/>
        </w:rPr>
        <w:t xml:space="preserve"> and psychotherapy.  </w:t>
      </w:r>
      <w:r w:rsidR="004A5C4C" w:rsidRPr="004A5C4C">
        <w:rPr>
          <w:rFonts w:ascii="Times New Roman" w:hAnsi="Times New Roman" w:cs="Times New Roman"/>
        </w:rPr>
        <w:t>However, despite these measure</w:t>
      </w:r>
      <w:r w:rsidR="00FB62A7" w:rsidRPr="004A5C4C">
        <w:rPr>
          <w:rFonts w:ascii="Times New Roman" w:hAnsi="Times New Roman" w:cs="Times New Roman"/>
        </w:rPr>
        <w:t xml:space="preserve">s, only 50% of patients completely recover.  Pharmacotherapy, </w:t>
      </w:r>
      <w:r w:rsidR="00515C5D">
        <w:rPr>
          <w:rFonts w:ascii="Times New Roman" w:hAnsi="Times New Roman" w:cs="Times New Roman"/>
        </w:rPr>
        <w:t xml:space="preserve">such as olanzapine and SSRIs, </w:t>
      </w:r>
      <w:r w:rsidR="00FB62A7" w:rsidRPr="004A5C4C">
        <w:rPr>
          <w:rFonts w:ascii="Times New Roman" w:hAnsi="Times New Roman" w:cs="Times New Roman"/>
        </w:rPr>
        <w:t>alt</w:t>
      </w:r>
      <w:r w:rsidR="004A5C4C" w:rsidRPr="004A5C4C">
        <w:rPr>
          <w:rFonts w:ascii="Times New Roman" w:hAnsi="Times New Roman" w:cs="Times New Roman"/>
        </w:rPr>
        <w:t xml:space="preserve">hough not used commonly, </w:t>
      </w:r>
      <w:r w:rsidR="003E5CC7">
        <w:rPr>
          <w:rFonts w:ascii="Times New Roman" w:hAnsi="Times New Roman" w:cs="Times New Roman"/>
        </w:rPr>
        <w:t>is</w:t>
      </w:r>
      <w:r w:rsidR="004A5C4C" w:rsidRPr="004A5C4C">
        <w:rPr>
          <w:rFonts w:ascii="Times New Roman" w:hAnsi="Times New Roman" w:cs="Times New Roman"/>
        </w:rPr>
        <w:t xml:space="preserve"> used when a patient is not responsive to initial standard treatment.  </w:t>
      </w:r>
      <w:r w:rsidR="004A5C4C">
        <w:rPr>
          <w:rFonts w:ascii="Times New Roman" w:hAnsi="Times New Roman" w:cs="Times New Roman"/>
        </w:rPr>
        <w:t xml:space="preserve">Previous studies have shown a positive effect of </w:t>
      </w:r>
      <w:r w:rsidR="0053327E">
        <w:rPr>
          <w:rFonts w:ascii="Times New Roman" w:hAnsi="Times New Roman" w:cs="Times New Roman"/>
        </w:rPr>
        <w:t>adjunctive therapy with fluoxetine</w:t>
      </w:r>
      <w:r w:rsidR="004A5C4C">
        <w:rPr>
          <w:rFonts w:ascii="Times New Roman" w:hAnsi="Times New Roman" w:cs="Times New Roman"/>
        </w:rPr>
        <w:t xml:space="preserve"> on weight restoration and reduction of eating disorder symptomatology</w:t>
      </w:r>
      <w:r w:rsidR="0053327E">
        <w:rPr>
          <w:rFonts w:ascii="Times New Roman" w:hAnsi="Times New Roman" w:cs="Times New Roman"/>
        </w:rPr>
        <w:t>, but unclear effect of weight gain with olanzapine.  Therefore, a</w:t>
      </w:r>
      <w:r w:rsidR="004A5C4C" w:rsidRPr="004A5C4C">
        <w:rPr>
          <w:rFonts w:ascii="Times New Roman" w:hAnsi="Times New Roman" w:cs="Times New Roman"/>
        </w:rPr>
        <w:t>n extensive literature review was</w:t>
      </w:r>
      <w:r w:rsidR="0053327E">
        <w:rPr>
          <w:rFonts w:ascii="Times New Roman" w:hAnsi="Times New Roman" w:cs="Times New Roman"/>
        </w:rPr>
        <w:t xml:space="preserve"> completed to</w:t>
      </w:r>
      <w:r w:rsidR="00515C5D">
        <w:rPr>
          <w:rFonts w:ascii="Times New Roman" w:hAnsi="Times New Roman" w:cs="Times New Roman"/>
        </w:rPr>
        <w:t xml:space="preserve"> determine the effectiveness of these medications for the treatment of anorexia in adolescents.  Multiple treatment outcomes were assessed including hospital stay, length of treatment, time to relapse, weight gain/weight restoration, and comorbidities.  PubMed and MESH databases were searched using the words “anorexia nervosa”, “SSRI”, “antipsychotics”, “medication” and “comparative study”.  </w:t>
      </w:r>
      <w:r w:rsidR="008A5DB0">
        <w:rPr>
          <w:rFonts w:ascii="Times New Roman" w:hAnsi="Times New Roman" w:cs="Times New Roman"/>
        </w:rPr>
        <w:t xml:space="preserve">This search yielded four articles, which were appraised to answer the question of interest.  </w:t>
      </w:r>
      <w:r w:rsidR="004A5C4C" w:rsidRPr="004A5C4C">
        <w:rPr>
          <w:rFonts w:ascii="Times New Roman" w:hAnsi="Times New Roman" w:cs="Times New Roman"/>
        </w:rPr>
        <w:t xml:space="preserve"> </w:t>
      </w:r>
      <w:r w:rsidR="00004378">
        <w:rPr>
          <w:rFonts w:ascii="Times New Roman" w:hAnsi="Times New Roman" w:cs="Times New Roman"/>
        </w:rPr>
        <w:t xml:space="preserve">Two of the studies were randomized controlled trials, however, one study included adolescents and adults up to age 45 and the other included young adults </w:t>
      </w:r>
      <w:r w:rsidR="00354CBA">
        <w:rPr>
          <w:rFonts w:ascii="Times New Roman" w:hAnsi="Times New Roman" w:cs="Times New Roman"/>
        </w:rPr>
        <w:t>w</w:t>
      </w:r>
      <w:r w:rsidR="00D6046C">
        <w:rPr>
          <w:rFonts w:ascii="Times New Roman" w:hAnsi="Times New Roman" w:cs="Times New Roman"/>
        </w:rPr>
        <w:t xml:space="preserve">ith </w:t>
      </w:r>
      <w:bookmarkStart w:id="0" w:name="_GoBack"/>
      <w:bookmarkEnd w:id="0"/>
      <w:r w:rsidR="00354CBA">
        <w:rPr>
          <w:rFonts w:ascii="Times New Roman" w:hAnsi="Times New Roman" w:cs="Times New Roman"/>
        </w:rPr>
        <w:t>mean ages of 23-29</w:t>
      </w:r>
      <w:r w:rsidR="00004378">
        <w:rPr>
          <w:rFonts w:ascii="Times New Roman" w:hAnsi="Times New Roman" w:cs="Times New Roman"/>
        </w:rPr>
        <w:t xml:space="preserve">.  The other studies were retrospective cohort studies in adolescents.  </w:t>
      </w:r>
      <w:r w:rsidR="00354CBA">
        <w:rPr>
          <w:rFonts w:ascii="Times New Roman" w:hAnsi="Times New Roman" w:cs="Times New Roman"/>
        </w:rPr>
        <w:t>Some limitations of these studies included small sample size and incomparable groups (the medication group had significantly higher severity of illness compared to the non-medicated group).  Despite these limitations</w:t>
      </w:r>
      <w:r w:rsidR="008A5DB0">
        <w:rPr>
          <w:rFonts w:ascii="Times New Roman" w:hAnsi="Times New Roman" w:cs="Times New Roman"/>
        </w:rPr>
        <w:t xml:space="preserve">, the data suggested that olanzapine can be used clinically as adjunctive treatment for weight gain, but there was no significant benefit of using SSRIs.  </w:t>
      </w:r>
    </w:p>
    <w:p w:rsidR="00EA4ABD" w:rsidRDefault="00EA4ABD" w:rsidP="00EA4ABD">
      <w:pPr>
        <w:jc w:val="center"/>
      </w:pPr>
    </w:p>
    <w:p w:rsidR="008A5DB0" w:rsidRDefault="008A5DB0" w:rsidP="008A5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 w:rsidR="008A5DB0" w:rsidRPr="008A5DB0" w:rsidRDefault="008A5DB0" w:rsidP="008A5D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5DB0">
        <w:rPr>
          <w:rFonts w:eastAsiaTheme="minorEastAsia"/>
          <w:i/>
          <w:iCs/>
          <w:kern w:val="24"/>
          <w:sz w:val="22"/>
          <w:szCs w:val="22"/>
        </w:rPr>
        <w:t xml:space="preserve">A retrospective study of SSRI treatment in adolescent anorexia nervosa: insufficient evidence for efficacy. 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Holtkamp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K,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Konrad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K, Kaiser N,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Ploenes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Y,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Heuseen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N,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Grzella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I,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Herpertz-Dahlmann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>.  Journal of Psychiatric Research 2005; 39: 303-310</w:t>
      </w:r>
    </w:p>
    <w:p w:rsidR="008A5DB0" w:rsidRPr="008A5DB0" w:rsidRDefault="008A5DB0" w:rsidP="008A5D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5DB0">
        <w:rPr>
          <w:rFonts w:eastAsiaTheme="minorEastAsia"/>
          <w:i/>
          <w:iCs/>
          <w:kern w:val="24"/>
          <w:sz w:val="22"/>
          <w:szCs w:val="22"/>
        </w:rPr>
        <w:t xml:space="preserve">Fluoxetine after weight </w:t>
      </w:r>
      <w:proofErr w:type="spellStart"/>
      <w:r w:rsidRPr="008A5DB0">
        <w:rPr>
          <w:rFonts w:eastAsiaTheme="minorEastAsia"/>
          <w:i/>
          <w:iCs/>
          <w:kern w:val="24"/>
          <w:sz w:val="22"/>
          <w:szCs w:val="22"/>
        </w:rPr>
        <w:t>resotration</w:t>
      </w:r>
      <w:proofErr w:type="spellEnd"/>
      <w:r w:rsidRPr="008A5DB0">
        <w:rPr>
          <w:rFonts w:eastAsiaTheme="minorEastAsia"/>
          <w:i/>
          <w:iCs/>
          <w:kern w:val="24"/>
          <w:sz w:val="22"/>
          <w:szCs w:val="22"/>
        </w:rPr>
        <w:t xml:space="preserve"> in anorexia nervosa: A randomized controlled trial</w:t>
      </w:r>
      <w:r w:rsidRPr="008A5DB0">
        <w:rPr>
          <w:rFonts w:eastAsiaTheme="minorEastAsia"/>
          <w:i/>
          <w:iCs/>
          <w:kern w:val="24"/>
          <w:sz w:val="22"/>
          <w:szCs w:val="22"/>
        </w:rPr>
        <w:br/>
      </w:r>
      <w:r w:rsidRPr="008A5DB0">
        <w:rPr>
          <w:rFonts w:eastAsiaTheme="minorEastAsia"/>
          <w:kern w:val="24"/>
          <w:sz w:val="22"/>
          <w:szCs w:val="22"/>
        </w:rPr>
        <w:t xml:space="preserve">Walsh BT, Kaplan AS,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Attia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EA, Olmsted M,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Parides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M, Carter J, Pike K, Devlin M, Woodside B, Roberto C,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Rockert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W. JAMA 2006; 295 (22): 2605-2612</w:t>
      </w:r>
    </w:p>
    <w:p w:rsidR="008A5DB0" w:rsidRPr="008A5DB0" w:rsidRDefault="008A5DB0" w:rsidP="008A5D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5DB0">
        <w:rPr>
          <w:rFonts w:eastAsiaTheme="minorEastAsia"/>
          <w:i/>
          <w:iCs/>
          <w:kern w:val="24"/>
          <w:sz w:val="22"/>
          <w:szCs w:val="22"/>
        </w:rPr>
        <w:t xml:space="preserve">Olanzapine use for the adjunctive treatment of adolescents with anorexia nervosa.  </w:t>
      </w:r>
      <w:r w:rsidRPr="008A5DB0">
        <w:rPr>
          <w:rFonts w:eastAsiaTheme="minorEastAsia"/>
          <w:kern w:val="24"/>
          <w:sz w:val="22"/>
          <w:szCs w:val="22"/>
        </w:rPr>
        <w:br/>
        <w:t xml:space="preserve">Norris M,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Spettigue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W, Buchholz A, Henderson K, Gomez R, Maras D,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Gaboury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I, Ni A.  Journal of Child and Adolescent Psychopharmacology.  2011; 21: 213-220.</w:t>
      </w:r>
    </w:p>
    <w:p w:rsidR="008A5DB0" w:rsidRPr="008A5DB0" w:rsidRDefault="008A5DB0" w:rsidP="008A5D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5DB0">
        <w:rPr>
          <w:rFonts w:eastAsiaTheme="minorEastAsia"/>
          <w:i/>
          <w:iCs/>
          <w:kern w:val="24"/>
          <w:sz w:val="22"/>
          <w:szCs w:val="22"/>
        </w:rPr>
        <w:t xml:space="preserve">Olanzapine in the treatment of low body weight and obsessive thinking in women with anorexia nervosa: A </w:t>
      </w:r>
      <w:proofErr w:type="gramStart"/>
      <w:r w:rsidRPr="008A5DB0">
        <w:rPr>
          <w:rFonts w:eastAsiaTheme="minorEastAsia"/>
          <w:i/>
          <w:iCs/>
          <w:kern w:val="24"/>
          <w:sz w:val="22"/>
          <w:szCs w:val="22"/>
        </w:rPr>
        <w:t>randomized ,</w:t>
      </w:r>
      <w:proofErr w:type="gramEnd"/>
      <w:r w:rsidRPr="008A5DB0">
        <w:rPr>
          <w:rFonts w:eastAsiaTheme="minorEastAsia"/>
          <w:i/>
          <w:iCs/>
          <w:kern w:val="24"/>
          <w:sz w:val="22"/>
          <w:szCs w:val="22"/>
        </w:rPr>
        <w:t xml:space="preserve"> double-blinded, placebo-controlled trial.</w:t>
      </w:r>
      <w:r w:rsidRPr="008A5DB0">
        <w:rPr>
          <w:rFonts w:eastAsiaTheme="minorEastAsia"/>
          <w:kern w:val="24"/>
          <w:sz w:val="22"/>
          <w:szCs w:val="22"/>
        </w:rPr>
        <w:br/>
      </w:r>
      <w:proofErr w:type="spellStart"/>
      <w:r w:rsidRPr="008A5DB0">
        <w:rPr>
          <w:rFonts w:eastAsiaTheme="minorEastAsia"/>
          <w:kern w:val="24"/>
          <w:sz w:val="22"/>
          <w:szCs w:val="22"/>
        </w:rPr>
        <w:t>Bissada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H,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Tasca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G, Barber A, </w:t>
      </w:r>
      <w:proofErr w:type="spellStart"/>
      <w:r w:rsidRPr="008A5DB0">
        <w:rPr>
          <w:rFonts w:eastAsiaTheme="minorEastAsia"/>
          <w:kern w:val="24"/>
          <w:sz w:val="22"/>
          <w:szCs w:val="22"/>
        </w:rPr>
        <w:t>Bradwejn</w:t>
      </w:r>
      <w:proofErr w:type="spellEnd"/>
      <w:r w:rsidRPr="008A5DB0">
        <w:rPr>
          <w:rFonts w:eastAsiaTheme="minorEastAsia"/>
          <w:kern w:val="24"/>
          <w:sz w:val="22"/>
          <w:szCs w:val="22"/>
        </w:rPr>
        <w:t xml:space="preserve"> J. Am J Psychiatry 2008; 165: 1281-1288.</w:t>
      </w:r>
    </w:p>
    <w:p w:rsidR="008A5DB0" w:rsidRPr="008A5DB0" w:rsidRDefault="008A5DB0" w:rsidP="008A5DB0">
      <w:pPr>
        <w:rPr>
          <w:rFonts w:ascii="Times New Roman" w:hAnsi="Times New Roman" w:cs="Times New Roman"/>
        </w:rPr>
      </w:pPr>
    </w:p>
    <w:sectPr w:rsidR="008A5DB0" w:rsidRPr="008A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792B"/>
    <w:multiLevelType w:val="hybridMultilevel"/>
    <w:tmpl w:val="59F217CA"/>
    <w:lvl w:ilvl="0" w:tplc="0BA0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A7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62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E2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03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8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0A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BD"/>
    <w:rsid w:val="00004378"/>
    <w:rsid w:val="0006597E"/>
    <w:rsid w:val="00354CBA"/>
    <w:rsid w:val="003D52A3"/>
    <w:rsid w:val="003E5CC7"/>
    <w:rsid w:val="004A5C4C"/>
    <w:rsid w:val="00515C5D"/>
    <w:rsid w:val="0053327E"/>
    <w:rsid w:val="008A5DB0"/>
    <w:rsid w:val="00A86754"/>
    <w:rsid w:val="00BF6BAD"/>
    <w:rsid w:val="00D6046C"/>
    <w:rsid w:val="00EA4ABD"/>
    <w:rsid w:val="00F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427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95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10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58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5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1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EE4A-F4AB-48CF-8E9A-916A8B6D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Orquidia Alexandria</dc:creator>
  <cp:keywords/>
  <dc:description/>
  <cp:lastModifiedBy>Torres, Orquidia Alexandria</cp:lastModifiedBy>
  <cp:revision>3</cp:revision>
  <dcterms:created xsi:type="dcterms:W3CDTF">2013-07-16T21:27:00Z</dcterms:created>
  <dcterms:modified xsi:type="dcterms:W3CDTF">2013-07-17T21:27:00Z</dcterms:modified>
</cp:coreProperties>
</file>