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AC" w:rsidRDefault="00EE49A6" w:rsidP="00EE49A6">
      <w:pPr>
        <w:jc w:val="center"/>
      </w:pPr>
      <w:r>
        <w:t xml:space="preserve">Duration of Intravenous Antibiotics in the Treatment of Acute </w:t>
      </w:r>
      <w:proofErr w:type="spellStart"/>
      <w:r>
        <w:t>Osteomyelitis</w:t>
      </w:r>
      <w:proofErr w:type="spellEnd"/>
      <w:r>
        <w:t xml:space="preserve"> in Children</w:t>
      </w:r>
    </w:p>
    <w:p w:rsidR="00012EBD" w:rsidRDefault="00012EBD" w:rsidP="00EE49A6">
      <w:pPr>
        <w:jc w:val="center"/>
      </w:pPr>
      <w:r>
        <w:t>Sheena Sharma, PGY-2</w:t>
      </w:r>
    </w:p>
    <w:p w:rsidR="00644835" w:rsidRDefault="00644835" w:rsidP="00EE49A6">
      <w:pPr>
        <w:jc w:val="center"/>
      </w:pPr>
      <w:r>
        <w:t>February, 2012</w:t>
      </w:r>
    </w:p>
    <w:p w:rsidR="008873A4" w:rsidRDefault="003D6F1E" w:rsidP="00EE53B6">
      <w:pPr>
        <w:ind w:firstLine="720"/>
      </w:pPr>
      <w:r>
        <w:t xml:space="preserve">Acute </w:t>
      </w:r>
      <w:proofErr w:type="spellStart"/>
      <w:r>
        <w:t>osteomyelitis</w:t>
      </w:r>
      <w:proofErr w:type="spellEnd"/>
      <w:r>
        <w:t xml:space="preserve"> is a serious condition that has the potential to cause significant morbidity in the pediatric population if not detected and treated appropriately.  Traditionally, treatment consists of 4-6 weeks of intravenous antibiotic therapy which</w:t>
      </w:r>
      <w:r w:rsidR="005D0645">
        <w:t>,</w:t>
      </w:r>
      <w:r>
        <w:t xml:space="preserve"> in and of itself</w:t>
      </w:r>
      <w:r w:rsidR="005D0645">
        <w:t>,</w:t>
      </w:r>
      <w:r>
        <w:t xml:space="preserve"> has potential complications including development of catheter-related infections, increased financial burden, and absence from </w:t>
      </w:r>
      <w:r w:rsidR="005D0645">
        <w:t>school.</w:t>
      </w:r>
      <w:r>
        <w:t xml:space="preserve">  </w:t>
      </w:r>
      <w:r w:rsidR="00EE7AFB">
        <w:t xml:space="preserve">Therefore, </w:t>
      </w:r>
      <w:r w:rsidR="00F55AA8">
        <w:t>an extensive review of the literature was completed to determine if i</w:t>
      </w:r>
      <w:r w:rsidR="00F55AA8" w:rsidRPr="00F55AA8">
        <w:t xml:space="preserve">n otherwise healthy children with acute </w:t>
      </w:r>
      <w:proofErr w:type="spellStart"/>
      <w:r w:rsidR="00F55AA8" w:rsidRPr="00F55AA8">
        <w:t>osteomyelitis</w:t>
      </w:r>
      <w:proofErr w:type="spellEnd"/>
      <w:r w:rsidR="00F55AA8" w:rsidRPr="00F55AA8">
        <w:t xml:space="preserve">, does early transition from intravenous to oral antibiotics compared to late transition or no transition result in resolution of disease without short- or long-term </w:t>
      </w:r>
      <w:proofErr w:type="spellStart"/>
      <w:r w:rsidR="00F55AA8" w:rsidRPr="00F55AA8">
        <w:t>s</w:t>
      </w:r>
      <w:r w:rsidR="00F965FD">
        <w:t>equelae</w:t>
      </w:r>
      <w:proofErr w:type="spellEnd"/>
      <w:r w:rsidR="00F965FD">
        <w:t xml:space="preserve">?  </w:t>
      </w:r>
      <w:proofErr w:type="spellStart"/>
      <w:r w:rsidR="00F965FD">
        <w:t>PubMed</w:t>
      </w:r>
      <w:proofErr w:type="spellEnd"/>
      <w:r w:rsidR="00F965FD">
        <w:t xml:space="preserve">, TRIP database, and </w:t>
      </w:r>
      <w:proofErr w:type="spellStart"/>
      <w:r w:rsidR="00F965FD">
        <w:t>PubMed</w:t>
      </w:r>
      <w:proofErr w:type="spellEnd"/>
      <w:r w:rsidR="00F965FD">
        <w:t xml:space="preserve"> Clinical Queries were searched using the keywords </w:t>
      </w:r>
      <w:r w:rsidR="00012EBD" w:rsidRPr="00F965FD">
        <w:t>“</w:t>
      </w:r>
      <w:proofErr w:type="spellStart"/>
      <w:r w:rsidR="00012EBD" w:rsidRPr="00F965FD">
        <w:t>osteomyelitis</w:t>
      </w:r>
      <w:proofErr w:type="spellEnd"/>
      <w:r w:rsidR="00012EBD" w:rsidRPr="00F965FD">
        <w:t>”, “treatment”,</w:t>
      </w:r>
      <w:r w:rsidR="00F965FD">
        <w:t xml:space="preserve"> and</w:t>
      </w:r>
      <w:r w:rsidR="00012EBD" w:rsidRPr="00F965FD">
        <w:t xml:space="preserve"> “antibiotics”</w:t>
      </w:r>
      <w:r w:rsidR="00DD5FA0">
        <w:t xml:space="preserve"> which yielded 4 studies that were appraised as </w:t>
      </w:r>
      <w:proofErr w:type="spellStart"/>
      <w:r w:rsidR="00DD5FA0">
        <w:t>noninferiority</w:t>
      </w:r>
      <w:proofErr w:type="spellEnd"/>
      <w:r w:rsidR="00DD5FA0">
        <w:t xml:space="preserve"> trials.  </w:t>
      </w:r>
      <w:r w:rsidR="00441C5E">
        <w:t>The studies t</w:t>
      </w:r>
      <w:r w:rsidR="001D440E">
        <w:t>hat were included defined and evaluated clear end-points</w:t>
      </w:r>
      <w:r w:rsidR="008873A4">
        <w:t>, however, the applicability of some studies was limited seco</w:t>
      </w:r>
      <w:r w:rsidR="001D440E">
        <w:t>ndary to their age and subsequent</w:t>
      </w:r>
      <w:r w:rsidR="008873A4">
        <w:t xml:space="preserve"> relevancy of microorganisms </w:t>
      </w:r>
      <w:r w:rsidR="001D440E">
        <w:t xml:space="preserve">compared to those </w:t>
      </w:r>
      <w:r w:rsidR="008873A4">
        <w:t xml:space="preserve">present in today’s population. </w:t>
      </w:r>
      <w:r w:rsidR="002F672A">
        <w:t xml:space="preserve"> </w:t>
      </w:r>
      <w:r w:rsidR="00C30127">
        <w:t>The clinical bottom line</w:t>
      </w:r>
      <w:r w:rsidR="00E02863">
        <w:t xml:space="preserve"> for this topic is that </w:t>
      </w:r>
      <w:r w:rsidR="00EE53B6">
        <w:t>short-term intravenous antibiotic therapy plus oral antibiotics</w:t>
      </w:r>
      <w:r w:rsidR="00E02863">
        <w:t xml:space="preserve"> (also known as sequential therapy) is n</w:t>
      </w:r>
      <w:r w:rsidR="00EE53B6">
        <w:t>ot inferior to long-term intravenous antibiotic t</w:t>
      </w:r>
      <w:r w:rsidR="00362287">
        <w:t xml:space="preserve">herapy </w:t>
      </w:r>
      <w:r w:rsidR="00C30127">
        <w:t>and ha</w:t>
      </w:r>
      <w:r w:rsidR="002F672A">
        <w:t>s</w:t>
      </w:r>
      <w:r w:rsidR="00C30127">
        <w:t xml:space="preserve"> </w:t>
      </w:r>
      <w:r w:rsidR="00362287">
        <w:t xml:space="preserve">fewer complications. </w:t>
      </w:r>
      <w:r w:rsidR="00012EBD">
        <w:t xml:space="preserve">Therefore, in certain populations this method of treatment should be considered. </w:t>
      </w:r>
      <w:r w:rsidR="00362287">
        <w:t xml:space="preserve"> </w:t>
      </w:r>
    </w:p>
    <w:p w:rsidR="00D50A73" w:rsidRDefault="00D50A73" w:rsidP="00EE53B6">
      <w:pPr>
        <w:ind w:firstLine="720"/>
      </w:pPr>
      <w:r>
        <w:t>References:</w:t>
      </w:r>
    </w:p>
    <w:p w:rsidR="002C4C25" w:rsidRPr="00D50A73" w:rsidRDefault="001D440E" w:rsidP="00D50A73">
      <w:pPr>
        <w:numPr>
          <w:ilvl w:val="0"/>
          <w:numId w:val="3"/>
        </w:numPr>
      </w:pPr>
      <w:proofErr w:type="spellStart"/>
      <w:r w:rsidRPr="00D50A73">
        <w:t>Bachur</w:t>
      </w:r>
      <w:proofErr w:type="spellEnd"/>
      <w:r w:rsidRPr="00D50A73">
        <w:t xml:space="preserve">, Richard and </w:t>
      </w:r>
      <w:proofErr w:type="spellStart"/>
      <w:r w:rsidRPr="00D50A73">
        <w:t>Zrinka</w:t>
      </w:r>
      <w:proofErr w:type="spellEnd"/>
      <w:r w:rsidRPr="00D50A73">
        <w:t xml:space="preserve"> </w:t>
      </w:r>
      <w:proofErr w:type="spellStart"/>
      <w:r w:rsidRPr="00D50A73">
        <w:t>Pagon</w:t>
      </w:r>
      <w:proofErr w:type="spellEnd"/>
      <w:r w:rsidRPr="00D50A73">
        <w:t xml:space="preserve">. Success of Short-Course </w:t>
      </w:r>
      <w:proofErr w:type="spellStart"/>
      <w:r w:rsidRPr="00D50A73">
        <w:t>Parenteral</w:t>
      </w:r>
      <w:proofErr w:type="spellEnd"/>
      <w:r w:rsidRPr="00D50A73">
        <w:t xml:space="preserve"> Antibiotic Therapy for Acute </w:t>
      </w:r>
      <w:proofErr w:type="spellStart"/>
      <w:r w:rsidRPr="00D50A73">
        <w:t>Osteomyelitis</w:t>
      </w:r>
      <w:proofErr w:type="spellEnd"/>
      <w:r w:rsidRPr="00D50A73">
        <w:t xml:space="preserve"> of Childhood. Clinical Pediatrics 2007; 46:30s</w:t>
      </w:r>
    </w:p>
    <w:p w:rsidR="002C4C25" w:rsidRPr="00D50A73" w:rsidRDefault="001D440E" w:rsidP="00D50A73">
      <w:pPr>
        <w:numPr>
          <w:ilvl w:val="0"/>
          <w:numId w:val="3"/>
        </w:numPr>
      </w:pPr>
      <w:proofErr w:type="spellStart"/>
      <w:r w:rsidRPr="00D50A73">
        <w:t>Jerberi</w:t>
      </w:r>
      <w:proofErr w:type="spellEnd"/>
      <w:r w:rsidRPr="00D50A73">
        <w:t xml:space="preserve">, F.M., et al. Short-Term Intravenous Antibiotic Treatment of Acute </w:t>
      </w:r>
      <w:proofErr w:type="spellStart"/>
      <w:r w:rsidRPr="00D50A73">
        <w:t>Hematogenous</w:t>
      </w:r>
      <w:proofErr w:type="spellEnd"/>
      <w:r w:rsidRPr="00D50A73">
        <w:t xml:space="preserve"> Bone and Joint Infection in Children: A Prospective Randomized Trial. Journal of Pediatric </w:t>
      </w:r>
      <w:proofErr w:type="spellStart"/>
      <w:r w:rsidRPr="00D50A73">
        <w:t>Orthopaedics</w:t>
      </w:r>
      <w:proofErr w:type="spellEnd"/>
      <w:r w:rsidRPr="00D50A73">
        <w:t>: 22(3): 317-20</w:t>
      </w:r>
    </w:p>
    <w:p w:rsidR="002C4C25" w:rsidRPr="00D50A73" w:rsidRDefault="001D440E" w:rsidP="00D50A73">
      <w:pPr>
        <w:numPr>
          <w:ilvl w:val="0"/>
          <w:numId w:val="3"/>
        </w:numPr>
      </w:pPr>
      <w:r w:rsidRPr="00D50A73">
        <w:t xml:space="preserve">Le </w:t>
      </w:r>
      <w:proofErr w:type="spellStart"/>
      <w:r w:rsidRPr="00D50A73">
        <w:t>Saux</w:t>
      </w:r>
      <w:proofErr w:type="spellEnd"/>
      <w:r w:rsidRPr="00D50A73">
        <w:t xml:space="preserve">, Nicole, et al. Shorter courses of </w:t>
      </w:r>
      <w:proofErr w:type="spellStart"/>
      <w:r w:rsidRPr="00D50A73">
        <w:t>parenteral</w:t>
      </w:r>
      <w:proofErr w:type="spellEnd"/>
      <w:r w:rsidRPr="00D50A73">
        <w:t xml:space="preserve"> antibiotic therapy </w:t>
      </w:r>
      <w:proofErr w:type="gramStart"/>
      <w:r w:rsidRPr="00D50A73">
        <w:t>do</w:t>
      </w:r>
      <w:proofErr w:type="gramEnd"/>
      <w:r w:rsidRPr="00D50A73">
        <w:t xml:space="preserve"> not appear to influence response rates for children with acute </w:t>
      </w:r>
      <w:proofErr w:type="spellStart"/>
      <w:r w:rsidRPr="00D50A73">
        <w:t>hematogenous</w:t>
      </w:r>
      <w:proofErr w:type="spellEnd"/>
      <w:r w:rsidRPr="00D50A73">
        <w:t xml:space="preserve"> </w:t>
      </w:r>
      <w:proofErr w:type="spellStart"/>
      <w:r w:rsidRPr="00D50A73">
        <w:t>osteomyelitis</w:t>
      </w:r>
      <w:proofErr w:type="spellEnd"/>
      <w:r w:rsidRPr="00D50A73">
        <w:t>: a systematic review. BMC Infectious Diseases 2002, 2:16</w:t>
      </w:r>
    </w:p>
    <w:p w:rsidR="002C4C25" w:rsidRPr="00D50A73" w:rsidRDefault="001D440E" w:rsidP="00D50A73">
      <w:pPr>
        <w:numPr>
          <w:ilvl w:val="0"/>
          <w:numId w:val="3"/>
        </w:numPr>
      </w:pPr>
      <w:proofErr w:type="spellStart"/>
      <w:r w:rsidRPr="00D50A73">
        <w:t>Zaoutis</w:t>
      </w:r>
      <w:proofErr w:type="spellEnd"/>
      <w:r w:rsidRPr="00D50A73">
        <w:t xml:space="preserve">, </w:t>
      </w:r>
      <w:proofErr w:type="spellStart"/>
      <w:r w:rsidRPr="00D50A73">
        <w:t>Theoklis</w:t>
      </w:r>
      <w:proofErr w:type="spellEnd"/>
      <w:r w:rsidRPr="00D50A73">
        <w:t xml:space="preserve">, et al. Prolonged Intravenous Therapy </w:t>
      </w:r>
      <w:proofErr w:type="gramStart"/>
      <w:r w:rsidRPr="00D50A73">
        <w:t>Versus</w:t>
      </w:r>
      <w:proofErr w:type="gramEnd"/>
      <w:r w:rsidRPr="00D50A73">
        <w:t xml:space="preserve"> Early Transition to Oral Antimicrobial Therapy for Acute </w:t>
      </w:r>
      <w:proofErr w:type="spellStart"/>
      <w:r w:rsidRPr="00D50A73">
        <w:t>Osteomyelitis</w:t>
      </w:r>
      <w:proofErr w:type="spellEnd"/>
      <w:r w:rsidRPr="00D50A73">
        <w:t xml:space="preserve"> in Children. Pediatrics 2009; 123; 636 </w:t>
      </w:r>
    </w:p>
    <w:p w:rsidR="00D50A73" w:rsidRDefault="00D50A73" w:rsidP="00EE53B6">
      <w:pPr>
        <w:ind w:firstLine="720"/>
      </w:pPr>
    </w:p>
    <w:sectPr w:rsidR="00D50A73" w:rsidSect="00701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1060"/>
    <w:multiLevelType w:val="hybridMultilevel"/>
    <w:tmpl w:val="E9A03C48"/>
    <w:lvl w:ilvl="0" w:tplc="FD0EB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8B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E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E1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CF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25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A2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27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ED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C413C2"/>
    <w:multiLevelType w:val="hybridMultilevel"/>
    <w:tmpl w:val="6C60F82A"/>
    <w:lvl w:ilvl="0" w:tplc="19727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22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E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2B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0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E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4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F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E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4A5234"/>
    <w:multiLevelType w:val="hybridMultilevel"/>
    <w:tmpl w:val="DAFEDD1E"/>
    <w:lvl w:ilvl="0" w:tplc="53566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8F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E8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AE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8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C1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AB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06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9A6"/>
    <w:rsid w:val="00012EBD"/>
    <w:rsid w:val="00121503"/>
    <w:rsid w:val="001D440E"/>
    <w:rsid w:val="002C4C25"/>
    <w:rsid w:val="002F672A"/>
    <w:rsid w:val="00362287"/>
    <w:rsid w:val="00391231"/>
    <w:rsid w:val="003D6F1E"/>
    <w:rsid w:val="00441C5E"/>
    <w:rsid w:val="005A4241"/>
    <w:rsid w:val="005D0645"/>
    <w:rsid w:val="00644835"/>
    <w:rsid w:val="006E62E9"/>
    <w:rsid w:val="00701DAC"/>
    <w:rsid w:val="008873A4"/>
    <w:rsid w:val="008B1155"/>
    <w:rsid w:val="009C2AA5"/>
    <w:rsid w:val="00BA1124"/>
    <w:rsid w:val="00BA363A"/>
    <w:rsid w:val="00C30127"/>
    <w:rsid w:val="00D50A73"/>
    <w:rsid w:val="00DD5FA0"/>
    <w:rsid w:val="00E02863"/>
    <w:rsid w:val="00EE1746"/>
    <w:rsid w:val="00EE49A6"/>
    <w:rsid w:val="00EE53B6"/>
    <w:rsid w:val="00EE7AFB"/>
    <w:rsid w:val="00F55AA8"/>
    <w:rsid w:val="00F965FD"/>
    <w:rsid w:val="00FB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7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5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4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Boykan, Rachel</cp:lastModifiedBy>
  <cp:revision>2</cp:revision>
  <dcterms:created xsi:type="dcterms:W3CDTF">2012-09-24T17:36:00Z</dcterms:created>
  <dcterms:modified xsi:type="dcterms:W3CDTF">2012-09-24T17:36:00Z</dcterms:modified>
</cp:coreProperties>
</file>