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280A9" w14:textId="77777777" w:rsidR="00907187" w:rsidRDefault="00907187" w:rsidP="00907187">
      <w:pPr>
        <w:pStyle w:val="OMBInfo"/>
      </w:pPr>
      <w:r>
        <w:t xml:space="preserve">OMB No. 0925-0001 and 0925-0002 (Rev. </w:t>
      </w:r>
      <w:r w:rsidRPr="007E6E1E">
        <w:t xml:space="preserve">03/2020 </w:t>
      </w:r>
      <w:r>
        <w:t>Approved Through 02/28/2023)</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EAD9B68"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BD5D90" w:rsidRPr="00BD5D90">
        <w:rPr>
          <w:sz w:val="22"/>
          <w:szCs w:val="22"/>
        </w:rPr>
        <w:t>Ute Martha Moll</w:t>
      </w:r>
    </w:p>
    <w:p w14:paraId="7FFF41C1" w14:textId="41002E5D"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Pr="00BD5D90">
        <w:rPr>
          <w:sz w:val="22"/>
        </w:rPr>
        <w:t>)</w:t>
      </w:r>
      <w:r w:rsidR="002B7443" w:rsidRPr="00BD5D90">
        <w:rPr>
          <w:sz w:val="22"/>
        </w:rPr>
        <w:t>:</w:t>
      </w:r>
      <w:r w:rsidR="00E03323" w:rsidRPr="00BD5D90">
        <w:rPr>
          <w:sz w:val="22"/>
        </w:rPr>
        <w:t xml:space="preserve"> </w:t>
      </w:r>
      <w:r w:rsidR="00BD5D90" w:rsidRPr="00BD5D90">
        <w:rPr>
          <w:sz w:val="22"/>
          <w:szCs w:val="22"/>
        </w:rPr>
        <w:t>utemoll</w:t>
      </w:r>
    </w:p>
    <w:p w14:paraId="74873D9A" w14:textId="6865F0D9" w:rsidR="002B7443" w:rsidRPr="00D3779E" w:rsidRDefault="00E047AD" w:rsidP="002B7443">
      <w:pPr>
        <w:pStyle w:val="FormFieldCaption1"/>
        <w:pBdr>
          <w:between w:val="single" w:sz="4" w:space="1" w:color="auto"/>
        </w:pBdr>
        <w:rPr>
          <w:sz w:val="32"/>
        </w:rPr>
      </w:pPr>
      <w:r w:rsidRPr="00D3779E">
        <w:rPr>
          <w:sz w:val="22"/>
        </w:rPr>
        <w:t>POSITION TITLE</w:t>
      </w:r>
      <w:r w:rsidR="002B7443" w:rsidRPr="00BD5D90">
        <w:rPr>
          <w:sz w:val="22"/>
        </w:rPr>
        <w:t>:</w:t>
      </w:r>
      <w:r w:rsidR="00BD5D90" w:rsidRPr="00BD5D90">
        <w:rPr>
          <w:sz w:val="22"/>
          <w:szCs w:val="22"/>
        </w:rPr>
        <w:t xml:space="preserve"> Professor of Pathology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BD5D90" w:rsidRPr="00D3779E" w14:paraId="5CD50646" w14:textId="77777777" w:rsidTr="005F0B12">
        <w:trPr>
          <w:cantSplit/>
          <w:trHeight w:val="395"/>
        </w:trPr>
        <w:tc>
          <w:tcPr>
            <w:tcW w:w="5220" w:type="dxa"/>
            <w:tcBorders>
              <w:top w:val="single" w:sz="4" w:space="0" w:color="auto"/>
            </w:tcBorders>
          </w:tcPr>
          <w:p w14:paraId="3B0C531B" w14:textId="0EE5F58E" w:rsidR="00BD5D90" w:rsidRPr="00BD5D90" w:rsidRDefault="00BD5D90" w:rsidP="00BD5D90">
            <w:pPr>
              <w:pStyle w:val="FormFieldCaption"/>
              <w:spacing w:before="20" w:after="20"/>
              <w:rPr>
                <w:sz w:val="22"/>
                <w:szCs w:val="22"/>
              </w:rPr>
            </w:pPr>
            <w:r w:rsidRPr="00BD5D90">
              <w:rPr>
                <w:sz w:val="22"/>
                <w:szCs w:val="22"/>
              </w:rPr>
              <w:t>University of Ulm, Germany</w:t>
            </w:r>
          </w:p>
        </w:tc>
        <w:tc>
          <w:tcPr>
            <w:tcW w:w="1440" w:type="dxa"/>
            <w:tcBorders>
              <w:top w:val="single" w:sz="4" w:space="0" w:color="auto"/>
            </w:tcBorders>
          </w:tcPr>
          <w:p w14:paraId="62DD05C1" w14:textId="270A0C06" w:rsidR="00BD5D90" w:rsidRPr="00BD5D90" w:rsidRDefault="00BD5D90" w:rsidP="00BD5D90">
            <w:pPr>
              <w:pStyle w:val="FormFieldCaption"/>
              <w:spacing w:before="20" w:after="20"/>
              <w:jc w:val="center"/>
              <w:rPr>
                <w:sz w:val="22"/>
                <w:szCs w:val="22"/>
              </w:rPr>
            </w:pPr>
            <w:r w:rsidRPr="00BD5D90">
              <w:rPr>
                <w:sz w:val="22"/>
                <w:szCs w:val="22"/>
              </w:rPr>
              <w:t>MS</w:t>
            </w:r>
          </w:p>
        </w:tc>
        <w:tc>
          <w:tcPr>
            <w:tcW w:w="1584" w:type="dxa"/>
            <w:tcBorders>
              <w:top w:val="single" w:sz="4" w:space="0" w:color="auto"/>
            </w:tcBorders>
          </w:tcPr>
          <w:p w14:paraId="543299E0" w14:textId="477C07F0" w:rsidR="00BD5D90" w:rsidRPr="00BD5D90" w:rsidRDefault="00BD5D90" w:rsidP="00BD5D90">
            <w:pPr>
              <w:pStyle w:val="FormFieldCaption"/>
              <w:spacing w:before="20" w:after="20"/>
              <w:jc w:val="center"/>
              <w:rPr>
                <w:sz w:val="22"/>
                <w:szCs w:val="22"/>
              </w:rPr>
            </w:pPr>
            <w:r w:rsidRPr="00BD5D90">
              <w:rPr>
                <w:sz w:val="22"/>
                <w:szCs w:val="22"/>
              </w:rPr>
              <w:t>1980</w:t>
            </w:r>
          </w:p>
        </w:tc>
        <w:tc>
          <w:tcPr>
            <w:tcW w:w="2592" w:type="dxa"/>
            <w:tcBorders>
              <w:top w:val="single" w:sz="4" w:space="0" w:color="auto"/>
            </w:tcBorders>
          </w:tcPr>
          <w:p w14:paraId="7BC5582F" w14:textId="7C496025" w:rsidR="00BD5D90" w:rsidRPr="00BD5D90" w:rsidRDefault="00BD5D90" w:rsidP="00BD5D90">
            <w:pPr>
              <w:pStyle w:val="FormFieldCaption"/>
              <w:spacing w:before="20" w:after="20"/>
              <w:rPr>
                <w:sz w:val="22"/>
                <w:szCs w:val="22"/>
              </w:rPr>
            </w:pPr>
            <w:r w:rsidRPr="00BD5D90">
              <w:rPr>
                <w:sz w:val="22"/>
                <w:szCs w:val="22"/>
              </w:rPr>
              <w:t>Biology</w:t>
            </w:r>
          </w:p>
        </w:tc>
      </w:tr>
      <w:tr w:rsidR="00BD5D90" w:rsidRPr="00D3779E" w14:paraId="1515F345" w14:textId="77777777" w:rsidTr="005F0B12">
        <w:trPr>
          <w:cantSplit/>
          <w:trHeight w:val="395"/>
        </w:trPr>
        <w:tc>
          <w:tcPr>
            <w:tcW w:w="5220" w:type="dxa"/>
          </w:tcPr>
          <w:p w14:paraId="7DED23E7" w14:textId="25FA631B" w:rsidR="00BD5D90" w:rsidRPr="00BD5D90" w:rsidRDefault="00BD5D90" w:rsidP="00BD5D90">
            <w:pPr>
              <w:pStyle w:val="FormFieldCaption"/>
              <w:spacing w:before="20" w:after="20"/>
              <w:rPr>
                <w:sz w:val="22"/>
                <w:szCs w:val="22"/>
              </w:rPr>
            </w:pPr>
            <w:r w:rsidRPr="00BD5D90">
              <w:rPr>
                <w:sz w:val="22"/>
                <w:szCs w:val="22"/>
              </w:rPr>
              <w:t>University of Ulm, Germany</w:t>
            </w:r>
          </w:p>
        </w:tc>
        <w:tc>
          <w:tcPr>
            <w:tcW w:w="1440" w:type="dxa"/>
          </w:tcPr>
          <w:p w14:paraId="0D874BFC" w14:textId="11B8B96F" w:rsidR="00BD5D90" w:rsidRPr="00BD5D90" w:rsidRDefault="00BD5D90" w:rsidP="00BD5D90">
            <w:pPr>
              <w:pStyle w:val="FormFieldCaption"/>
              <w:spacing w:before="20" w:after="20"/>
              <w:jc w:val="center"/>
              <w:rPr>
                <w:sz w:val="22"/>
                <w:szCs w:val="22"/>
              </w:rPr>
            </w:pPr>
            <w:r w:rsidRPr="00BD5D90">
              <w:rPr>
                <w:sz w:val="22"/>
                <w:szCs w:val="22"/>
              </w:rPr>
              <w:t>MD</w:t>
            </w:r>
          </w:p>
        </w:tc>
        <w:tc>
          <w:tcPr>
            <w:tcW w:w="1584" w:type="dxa"/>
          </w:tcPr>
          <w:p w14:paraId="1A7AA7CA" w14:textId="76AE9AC2" w:rsidR="00BD5D90" w:rsidRPr="00BD5D90" w:rsidRDefault="00BD5D90" w:rsidP="00BD5D90">
            <w:pPr>
              <w:pStyle w:val="FormFieldCaption"/>
              <w:spacing w:before="20" w:after="20"/>
              <w:jc w:val="center"/>
              <w:rPr>
                <w:sz w:val="22"/>
                <w:szCs w:val="22"/>
              </w:rPr>
            </w:pPr>
            <w:r w:rsidRPr="00BD5D90">
              <w:rPr>
                <w:sz w:val="22"/>
                <w:szCs w:val="22"/>
              </w:rPr>
              <w:t>1985</w:t>
            </w:r>
          </w:p>
        </w:tc>
        <w:tc>
          <w:tcPr>
            <w:tcW w:w="2592" w:type="dxa"/>
          </w:tcPr>
          <w:p w14:paraId="4CC74E5C" w14:textId="2373F09A" w:rsidR="00BD5D90" w:rsidRPr="00BD5D90" w:rsidRDefault="00BD5D90" w:rsidP="00BD5D90">
            <w:pPr>
              <w:pStyle w:val="FormFieldCaption"/>
              <w:spacing w:before="20" w:after="20"/>
              <w:rPr>
                <w:sz w:val="22"/>
                <w:szCs w:val="22"/>
              </w:rPr>
            </w:pPr>
            <w:r w:rsidRPr="00BD5D90">
              <w:rPr>
                <w:sz w:val="22"/>
                <w:szCs w:val="22"/>
              </w:rPr>
              <w:t>Medicine</w:t>
            </w:r>
          </w:p>
        </w:tc>
      </w:tr>
      <w:tr w:rsidR="00BD5D90" w:rsidRPr="00D3779E" w14:paraId="51E27C1C" w14:textId="77777777" w:rsidTr="005F0B12">
        <w:trPr>
          <w:cantSplit/>
          <w:trHeight w:val="395"/>
        </w:trPr>
        <w:tc>
          <w:tcPr>
            <w:tcW w:w="5220" w:type="dxa"/>
          </w:tcPr>
          <w:p w14:paraId="66BC8FF0" w14:textId="31E1FB9E" w:rsidR="00BD5D90" w:rsidRPr="00BD5D90" w:rsidRDefault="00BD5D90" w:rsidP="00BD5D90">
            <w:pPr>
              <w:pStyle w:val="FormFieldCaption"/>
              <w:spacing w:before="20" w:after="20"/>
              <w:rPr>
                <w:sz w:val="22"/>
                <w:szCs w:val="22"/>
              </w:rPr>
            </w:pPr>
            <w:r w:rsidRPr="00BD5D90">
              <w:rPr>
                <w:sz w:val="22"/>
                <w:szCs w:val="22"/>
              </w:rPr>
              <w:t>University Hospital, Stony Brook University</w:t>
            </w:r>
          </w:p>
        </w:tc>
        <w:tc>
          <w:tcPr>
            <w:tcW w:w="1440" w:type="dxa"/>
          </w:tcPr>
          <w:p w14:paraId="6AEADABA" w14:textId="457EB4AA" w:rsidR="00BD5D90" w:rsidRPr="00BD5D90" w:rsidRDefault="00BD5D90" w:rsidP="00BD5D90">
            <w:pPr>
              <w:pStyle w:val="FormFieldCaption"/>
              <w:spacing w:before="20" w:after="20"/>
              <w:jc w:val="center"/>
              <w:rPr>
                <w:sz w:val="22"/>
                <w:szCs w:val="22"/>
              </w:rPr>
            </w:pPr>
            <w:r w:rsidRPr="00BD5D90">
              <w:rPr>
                <w:sz w:val="22"/>
                <w:szCs w:val="22"/>
              </w:rPr>
              <w:t>Residency</w:t>
            </w:r>
          </w:p>
        </w:tc>
        <w:tc>
          <w:tcPr>
            <w:tcW w:w="1584" w:type="dxa"/>
          </w:tcPr>
          <w:p w14:paraId="4ED60B07" w14:textId="28E5B68D" w:rsidR="00BD5D90" w:rsidRPr="00BD5D90" w:rsidRDefault="00BD5D90" w:rsidP="00BD5D90">
            <w:pPr>
              <w:pStyle w:val="FormFieldCaption"/>
              <w:spacing w:before="20" w:after="20"/>
              <w:jc w:val="center"/>
              <w:rPr>
                <w:sz w:val="22"/>
                <w:szCs w:val="22"/>
              </w:rPr>
            </w:pPr>
            <w:r w:rsidRPr="00BD5D90">
              <w:rPr>
                <w:sz w:val="22"/>
                <w:szCs w:val="22"/>
              </w:rPr>
              <w:t>1986-1990</w:t>
            </w:r>
          </w:p>
        </w:tc>
        <w:tc>
          <w:tcPr>
            <w:tcW w:w="2592" w:type="dxa"/>
          </w:tcPr>
          <w:p w14:paraId="2303550C" w14:textId="0F98FC11" w:rsidR="00BD5D90" w:rsidRPr="00BD5D90" w:rsidRDefault="00BD5D90" w:rsidP="00BD5D90">
            <w:pPr>
              <w:pStyle w:val="FormFieldCaption"/>
              <w:spacing w:before="20" w:after="20"/>
              <w:rPr>
                <w:sz w:val="22"/>
                <w:szCs w:val="22"/>
              </w:rPr>
            </w:pPr>
            <w:r w:rsidRPr="00BD5D90">
              <w:rPr>
                <w:sz w:val="22"/>
                <w:szCs w:val="22"/>
              </w:rPr>
              <w:t>Anat &amp; Clin Pathology</w:t>
            </w:r>
          </w:p>
        </w:tc>
      </w:tr>
    </w:tbl>
    <w:p w14:paraId="089B4082" w14:textId="77777777" w:rsidR="00BD5D90" w:rsidRPr="00BE13C9" w:rsidRDefault="00BD5D90" w:rsidP="00BE13C9">
      <w:pPr>
        <w:pStyle w:val="DataField11pt-Single"/>
        <w:rPr>
          <w:rStyle w:val="Strong"/>
          <w:sz w:val="10"/>
          <w:szCs w:val="10"/>
        </w:rPr>
      </w:pPr>
    </w:p>
    <w:p w14:paraId="37CDC66B" w14:textId="32B92D5D" w:rsidR="00997894" w:rsidRDefault="002C51BC" w:rsidP="00BE13C9">
      <w:pPr>
        <w:pStyle w:val="DataField11pt-Single"/>
        <w:numPr>
          <w:ilvl w:val="0"/>
          <w:numId w:val="19"/>
        </w:numPr>
        <w:ind w:left="270" w:hanging="270"/>
        <w:rPr>
          <w:rStyle w:val="Strong"/>
        </w:rPr>
      </w:pPr>
      <w:r w:rsidRPr="00A128A0">
        <w:rPr>
          <w:rStyle w:val="Strong"/>
        </w:rPr>
        <w:t>Personal Statement</w:t>
      </w:r>
    </w:p>
    <w:p w14:paraId="1B9B4BB9" w14:textId="23EC7742" w:rsidR="00BD5D90" w:rsidRPr="00C95E25" w:rsidRDefault="004E1846" w:rsidP="00BE13C9">
      <w:pPr>
        <w:autoSpaceDE/>
        <w:autoSpaceDN/>
        <w:jc w:val="both"/>
        <w:rPr>
          <w:rFonts w:cs="Arial"/>
        </w:rPr>
      </w:pPr>
      <w:r>
        <w:rPr>
          <w:rFonts w:cs="Arial"/>
          <w:szCs w:val="22"/>
        </w:rPr>
        <w:t>I am</w:t>
      </w:r>
      <w:r w:rsidR="00BD5D90" w:rsidRPr="00BD5D90">
        <w:rPr>
          <w:rFonts w:cs="Arial"/>
          <w:szCs w:val="22"/>
        </w:rPr>
        <w:t xml:space="preserve"> a physician scientist at Stony Brook University and a leader in the field of the p53/p63/p73 gene family, studying their function and regulation in normal development, tissue homeostasis and cancer. </w:t>
      </w:r>
      <w:r>
        <w:rPr>
          <w:rFonts w:cs="Arial"/>
          <w:szCs w:val="22"/>
        </w:rPr>
        <w:t>I am</w:t>
      </w:r>
      <w:r w:rsidR="00BD5D90" w:rsidRPr="00BD5D90">
        <w:rPr>
          <w:rFonts w:cs="Arial"/>
          <w:szCs w:val="22"/>
        </w:rPr>
        <w:t xml:space="preserve"> board certified in Anatomical and Clinical Pathology and maintain part-time clinical duties in the Dept. of Pathology at SBU. </w:t>
      </w:r>
      <w:r>
        <w:rPr>
          <w:rFonts w:cs="Arial"/>
          <w:szCs w:val="22"/>
        </w:rPr>
        <w:t>I am</w:t>
      </w:r>
      <w:r w:rsidR="00BD5D90" w:rsidRPr="00BD5D90">
        <w:rPr>
          <w:rFonts w:cs="Arial"/>
          <w:szCs w:val="22"/>
        </w:rPr>
        <w:t xml:space="preserve"> the senior Principal Investigator of a continuously productive, well-funded research laboratory since </w:t>
      </w:r>
      <w:r w:rsidR="00A43855">
        <w:rPr>
          <w:rFonts w:cs="Arial"/>
          <w:szCs w:val="22"/>
        </w:rPr>
        <w:t>30</w:t>
      </w:r>
      <w:r w:rsidR="00BD5D90" w:rsidRPr="00BD5D90">
        <w:rPr>
          <w:rFonts w:cs="Arial"/>
          <w:szCs w:val="22"/>
        </w:rPr>
        <w:t xml:space="preserve"> years, and completed numerous successful projects with uninterrupted grant support from the National Cancer Institute, the National Heart, Lung, Blood Institute (NHLBI)</w:t>
      </w:r>
      <w:r w:rsidR="00A43855">
        <w:rPr>
          <w:rFonts w:cs="Arial"/>
          <w:szCs w:val="22"/>
        </w:rPr>
        <w:t>, the ACS, DoD</w:t>
      </w:r>
      <w:r w:rsidR="00BD5D90" w:rsidRPr="00BD5D90">
        <w:rPr>
          <w:rFonts w:cs="Arial"/>
          <w:szCs w:val="22"/>
        </w:rPr>
        <w:t xml:space="preserve"> and other national sources. </w:t>
      </w:r>
      <w:r>
        <w:rPr>
          <w:rFonts w:cs="Arial"/>
          <w:szCs w:val="22"/>
        </w:rPr>
        <w:t>I have</w:t>
      </w:r>
      <w:r w:rsidR="00BD5D90" w:rsidRPr="00BD5D90">
        <w:rPr>
          <w:rFonts w:cs="Arial"/>
          <w:szCs w:val="22"/>
        </w:rPr>
        <w:t xml:space="preserve"> broad experience in querying biological systems to decipher mechanisms of disease, ranging from human tissues, advanced cell culture to genetic mouse models. </w:t>
      </w:r>
      <w:r>
        <w:rPr>
          <w:rFonts w:cs="Arial"/>
          <w:szCs w:val="22"/>
        </w:rPr>
        <w:t>I use</w:t>
      </w:r>
      <w:r w:rsidR="00BD5D90" w:rsidRPr="00BD5D90">
        <w:rPr>
          <w:rFonts w:cs="Arial"/>
          <w:szCs w:val="22"/>
        </w:rPr>
        <w:t xml:space="preserve"> a broad range of molecular, cell biological and biochemical methods and ha</w:t>
      </w:r>
      <w:r w:rsidR="002D15BF">
        <w:rPr>
          <w:rFonts w:cs="Arial"/>
          <w:szCs w:val="22"/>
        </w:rPr>
        <w:t>ve</w:t>
      </w:r>
      <w:r w:rsidR="00BD5D90" w:rsidRPr="00BD5D90">
        <w:rPr>
          <w:rFonts w:cs="Arial"/>
          <w:szCs w:val="22"/>
        </w:rPr>
        <w:t xml:space="preserve"> expertise in generating knockin mice and compound mouse genetic models. </w:t>
      </w:r>
      <w:r w:rsidR="002D15BF">
        <w:rPr>
          <w:rFonts w:cs="Arial"/>
          <w:szCs w:val="22"/>
        </w:rPr>
        <w:t>My</w:t>
      </w:r>
      <w:r w:rsidR="00BD5D90" w:rsidRPr="00BD5D90">
        <w:rPr>
          <w:rFonts w:cs="Arial"/>
          <w:szCs w:val="22"/>
        </w:rPr>
        <w:t xml:space="preserve"> research is published in top-ranking journals. </w:t>
      </w:r>
      <w:r w:rsidR="002D15BF">
        <w:rPr>
          <w:rFonts w:cs="Arial"/>
          <w:szCs w:val="22"/>
        </w:rPr>
        <w:t>My</w:t>
      </w:r>
      <w:r w:rsidR="00BD5D90" w:rsidRPr="00BD5D90">
        <w:rPr>
          <w:rFonts w:cs="Arial"/>
          <w:szCs w:val="22"/>
        </w:rPr>
        <w:t xml:space="preserve"> lab made seminal contributions to the important field of gain-of-function (GOF) p53 missense mutations in cancer</w:t>
      </w:r>
      <w:r w:rsidR="002D15BF">
        <w:rPr>
          <w:rFonts w:cs="Arial"/>
          <w:szCs w:val="22"/>
        </w:rPr>
        <w:t xml:space="preserve"> and </w:t>
      </w:r>
      <w:r w:rsidR="00BD5D90" w:rsidRPr="00BD5D90">
        <w:rPr>
          <w:rFonts w:cs="Arial"/>
          <w:szCs w:val="22"/>
        </w:rPr>
        <w:t xml:space="preserve">has a strong translational focus. </w:t>
      </w:r>
      <w:r w:rsidR="00870BD5">
        <w:rPr>
          <w:rFonts w:cs="Arial"/>
          <w:szCs w:val="22"/>
        </w:rPr>
        <w:t>We</w:t>
      </w:r>
      <w:r w:rsidR="00BD5D90" w:rsidRPr="00BD5D90">
        <w:rPr>
          <w:rFonts w:cs="Arial"/>
          <w:szCs w:val="22"/>
        </w:rPr>
        <w:t xml:space="preserve"> definitively proved </w:t>
      </w:r>
      <w:r w:rsidR="00870BD5">
        <w:rPr>
          <w:rFonts w:cs="Arial"/>
          <w:szCs w:val="22"/>
        </w:rPr>
        <w:t xml:space="preserve">the existence of </w:t>
      </w:r>
      <w:r w:rsidR="00BD5D90" w:rsidRPr="00BD5D90">
        <w:rPr>
          <w:rFonts w:cs="Arial"/>
          <w:szCs w:val="22"/>
        </w:rPr>
        <w:t>GOF in mouse and human cancers</w:t>
      </w:r>
      <w:r w:rsidR="00870BD5">
        <w:rPr>
          <w:rFonts w:cs="Arial"/>
          <w:szCs w:val="22"/>
        </w:rPr>
        <w:t xml:space="preserve"> </w:t>
      </w:r>
      <w:r w:rsidR="00870BD5" w:rsidRPr="00092BAD">
        <w:rPr>
          <w:rFonts w:cs="Arial"/>
          <w:i/>
          <w:iCs/>
          <w:szCs w:val="22"/>
        </w:rPr>
        <w:t>in vivo</w:t>
      </w:r>
      <w:r w:rsidR="00BD5D90" w:rsidRPr="00BD5D90">
        <w:rPr>
          <w:rFonts w:cs="Arial"/>
          <w:szCs w:val="22"/>
        </w:rPr>
        <w:t xml:space="preserve">. In a series of papers using autochthonous cancer mouse models, </w:t>
      </w:r>
      <w:r w:rsidR="00092BAD">
        <w:rPr>
          <w:rFonts w:cs="Arial"/>
          <w:szCs w:val="22"/>
        </w:rPr>
        <w:t>we</w:t>
      </w:r>
      <w:r w:rsidR="00BD5D90" w:rsidRPr="00BD5D90">
        <w:rPr>
          <w:rFonts w:cs="Arial"/>
          <w:szCs w:val="22"/>
        </w:rPr>
        <w:t xml:space="preserve"> then demonstrated that major cancer types exhibit dependency on the stabilized GOF mutp53 protein</w:t>
      </w:r>
      <w:r w:rsidR="00092BAD">
        <w:rPr>
          <w:rFonts w:cs="Arial"/>
          <w:szCs w:val="22"/>
        </w:rPr>
        <w:t xml:space="preserve"> and u</w:t>
      </w:r>
      <w:r w:rsidR="00BD5D90" w:rsidRPr="00BD5D90">
        <w:rPr>
          <w:rFonts w:cs="Arial"/>
          <w:szCs w:val="22"/>
        </w:rPr>
        <w:t xml:space="preserve">sing genetic and pharmacological approaches, </w:t>
      </w:r>
      <w:r w:rsidR="00092BAD">
        <w:rPr>
          <w:rFonts w:cs="Arial"/>
          <w:szCs w:val="22"/>
        </w:rPr>
        <w:t>we</w:t>
      </w:r>
      <w:r w:rsidR="00BD5D90" w:rsidRPr="00BD5D90">
        <w:rPr>
          <w:rFonts w:cs="Arial"/>
          <w:szCs w:val="22"/>
        </w:rPr>
        <w:t xml:space="preserve"> showed that this dependency can be therapeutically exploited by ablating mutp53 which greatly extends survival. </w:t>
      </w:r>
      <w:r w:rsidR="00092BAD">
        <w:rPr>
          <w:rFonts w:cs="Arial"/>
          <w:szCs w:val="22"/>
        </w:rPr>
        <w:t>We</w:t>
      </w:r>
      <w:r w:rsidR="00BD5D90" w:rsidRPr="00BD5D90">
        <w:rPr>
          <w:rFonts w:cs="Arial"/>
          <w:szCs w:val="22"/>
        </w:rPr>
        <w:t xml:space="preserve"> also discovered two separate transcription-independent cell death functions of wild-type p53, taking place at the mitochondria. In response to a broad spectrum of stress, p53 protein induces apoptosis at the mitochondrial outer membrane by physical interaction with the Bcl2 family. </w:t>
      </w:r>
      <w:r w:rsidR="00A43855">
        <w:rPr>
          <w:rFonts w:cs="Arial"/>
          <w:szCs w:val="22"/>
        </w:rPr>
        <w:t>My</w:t>
      </w:r>
      <w:r w:rsidR="00BD5D90" w:rsidRPr="00BD5D90">
        <w:rPr>
          <w:rFonts w:cs="Arial"/>
          <w:szCs w:val="22"/>
        </w:rPr>
        <w:t xml:space="preserve"> lab also </w:t>
      </w:r>
      <w:r w:rsidR="00BD5D90" w:rsidRPr="00924AA5">
        <w:rPr>
          <w:rFonts w:cs="Arial"/>
          <w:szCs w:val="22"/>
        </w:rPr>
        <w:t xml:space="preserve">found a critical role of stress-accumulated p53 in the mitochondrial matrix in triggering oxidative stress-mediated necrosis and ischemic stroke by directly opening the mitochondrial </w:t>
      </w:r>
      <w:bookmarkStart w:id="0" w:name="_GoBack"/>
      <w:bookmarkEnd w:id="0"/>
      <w:r w:rsidR="00BD5D90" w:rsidRPr="00C95E25">
        <w:rPr>
          <w:rFonts w:cs="Arial"/>
          <w:szCs w:val="22"/>
        </w:rPr>
        <w:t>permeability transition pore via binding to CypD.</w:t>
      </w:r>
      <w:r w:rsidR="005D5E47" w:rsidRPr="00C95E25">
        <w:rPr>
          <w:rFonts w:cs="Arial"/>
          <w:szCs w:val="22"/>
        </w:rPr>
        <w:t xml:space="preserve"> </w:t>
      </w:r>
    </w:p>
    <w:p w14:paraId="370E9FEE" w14:textId="471A389D" w:rsidR="00875F2F" w:rsidRPr="00C95E25" w:rsidRDefault="00875F2F" w:rsidP="00BE13C9">
      <w:pPr>
        <w:ind w:right="27"/>
        <w:jc w:val="both"/>
        <w:rPr>
          <w:rFonts w:ascii="ArialMT" w:hAnsi="ArialMT"/>
          <w:szCs w:val="22"/>
        </w:rPr>
      </w:pPr>
    </w:p>
    <w:p w14:paraId="53FABFFE" w14:textId="74739B3C" w:rsidR="00875F2F" w:rsidRPr="00C95E25" w:rsidRDefault="00875F2F" w:rsidP="00BE13C9">
      <w:pPr>
        <w:ind w:right="27"/>
        <w:jc w:val="both"/>
        <w:rPr>
          <w:rFonts w:ascii="ArialMT" w:hAnsi="ArialMT"/>
          <w:szCs w:val="22"/>
        </w:rPr>
      </w:pPr>
      <w:r w:rsidRPr="00C95E25">
        <w:rPr>
          <w:rFonts w:cs="Arial"/>
          <w:szCs w:val="22"/>
        </w:rPr>
        <w:t xml:space="preserve">The current application builds logically on her previous work, in particular her laboratory’s discovery of TAp73 as master regulator of multiciliogenesis. Clearly, Dr. Moll has the technical expertise, scientific and administrative leadership, and motivation necessary to successfully carry out the proposed research as Project Director. She also established ongoing fruitful collaborations with Drs. Pappin and Takemaru that will assure the successful completion of this project and advance our understanding of this newly discovered essential role of E2f7 and </w:t>
      </w:r>
      <w:r w:rsidRPr="00C95E25">
        <w:rPr>
          <w:rFonts w:ascii="ArialMT" w:hAnsi="ArialMT"/>
          <w:szCs w:val="22"/>
        </w:rPr>
        <w:t>E2f8 in regulating the development of motile multiciliated cells in the body.</w:t>
      </w:r>
    </w:p>
    <w:p w14:paraId="121749A1" w14:textId="227070A5" w:rsidR="00875F2F" w:rsidRPr="00C95E25" w:rsidRDefault="00875F2F" w:rsidP="00BE13C9">
      <w:pPr>
        <w:ind w:right="27"/>
        <w:jc w:val="both"/>
        <w:rPr>
          <w:rFonts w:ascii="ArialMT" w:hAnsi="ArialMT"/>
          <w:szCs w:val="22"/>
        </w:rPr>
      </w:pPr>
    </w:p>
    <w:p w14:paraId="4E9E2489" w14:textId="77777777" w:rsidR="00875F2F" w:rsidRPr="00C95E25" w:rsidRDefault="00875F2F" w:rsidP="00BE13C9">
      <w:pPr>
        <w:ind w:right="27"/>
        <w:jc w:val="both"/>
        <w:rPr>
          <w:rFonts w:ascii="ArialMT" w:hAnsi="ArialMT"/>
          <w:szCs w:val="22"/>
        </w:rPr>
      </w:pPr>
    </w:p>
    <w:p w14:paraId="07B1A9A0" w14:textId="7A3B183D" w:rsidR="00BE13C9" w:rsidRPr="00C95E25" w:rsidRDefault="00BE13C9" w:rsidP="00BE13C9">
      <w:pPr>
        <w:ind w:right="27"/>
        <w:jc w:val="both"/>
        <w:rPr>
          <w:rFonts w:cs="Arial"/>
          <w:bCs/>
          <w:color w:val="000000" w:themeColor="text1"/>
          <w:szCs w:val="22"/>
        </w:rPr>
      </w:pPr>
      <w:r w:rsidRPr="00C95E25">
        <w:rPr>
          <w:rFonts w:cs="Arial"/>
          <w:bCs/>
          <w:szCs w:val="22"/>
        </w:rPr>
        <w:t xml:space="preserve">Nemajerova A*, Kramer D, et al. Bonn S, Takemaru K-I, </w:t>
      </w:r>
      <w:r w:rsidRPr="00C95E25">
        <w:rPr>
          <w:rFonts w:cs="Arial"/>
          <w:b/>
          <w:bCs/>
          <w:szCs w:val="22"/>
        </w:rPr>
        <w:t xml:space="preserve">Moll UM* </w:t>
      </w:r>
      <w:r w:rsidRPr="00C95E25">
        <w:rPr>
          <w:rFonts w:cs="Arial"/>
          <w:bCs/>
          <w:szCs w:val="22"/>
        </w:rPr>
        <w:t>and</w:t>
      </w:r>
      <w:r w:rsidRPr="00C95E25">
        <w:rPr>
          <w:rFonts w:cs="Arial"/>
          <w:b/>
          <w:bCs/>
          <w:szCs w:val="22"/>
        </w:rPr>
        <w:t xml:space="preserve"> </w:t>
      </w:r>
      <w:r w:rsidRPr="00C95E25">
        <w:rPr>
          <w:rFonts w:cs="Arial"/>
          <w:bCs/>
          <w:szCs w:val="22"/>
        </w:rPr>
        <w:t xml:space="preserve">Lizé M* (2016). TAp73 is a central transcriptional regulator of airway multiciliogenesis. </w:t>
      </w:r>
      <w:r w:rsidRPr="00C95E25">
        <w:rPr>
          <w:rFonts w:cs="Arial"/>
          <w:b/>
          <w:bCs/>
          <w:i/>
          <w:szCs w:val="22"/>
        </w:rPr>
        <w:t>Genes &amp; Development</w:t>
      </w:r>
      <w:r w:rsidRPr="00C95E25">
        <w:rPr>
          <w:rFonts w:cs="Arial"/>
          <w:bCs/>
          <w:szCs w:val="22"/>
        </w:rPr>
        <w:t>, 30(11):1300-12</w:t>
      </w:r>
      <w:r w:rsidRPr="00C95E25">
        <w:rPr>
          <w:rFonts w:cs="Arial"/>
          <w:bCs/>
          <w:color w:val="000000" w:themeColor="text1"/>
          <w:szCs w:val="22"/>
        </w:rPr>
        <w:t>.</w:t>
      </w:r>
      <w:r w:rsidRPr="00C95E25">
        <w:rPr>
          <w:rFonts w:cs="Arial"/>
          <w:b/>
          <w:bCs/>
          <w:i/>
          <w:color w:val="000000" w:themeColor="text1"/>
          <w:szCs w:val="22"/>
        </w:rPr>
        <w:t xml:space="preserve"> </w:t>
      </w:r>
      <w:r w:rsidRPr="00C95E25">
        <w:rPr>
          <w:rFonts w:cs="Arial"/>
          <w:bCs/>
          <w:i/>
          <w:color w:val="000000" w:themeColor="text1"/>
          <w:szCs w:val="22"/>
        </w:rPr>
        <w:t>Featured on Journal Cover. Editorial</w:t>
      </w:r>
      <w:r w:rsidRPr="00C95E25">
        <w:rPr>
          <w:rFonts w:cs="Arial"/>
          <w:bCs/>
          <w:color w:val="000000" w:themeColor="text1"/>
          <w:szCs w:val="22"/>
        </w:rPr>
        <w:t xml:space="preserve"> by Napoli M, Flores ER. </w:t>
      </w:r>
      <w:r w:rsidRPr="00C95E25">
        <w:rPr>
          <w:rFonts w:cs="Arial"/>
          <w:b/>
          <w:bCs/>
          <w:color w:val="000000" w:themeColor="text1"/>
          <w:szCs w:val="22"/>
        </w:rPr>
        <w:t>Genes Dev</w:t>
      </w:r>
      <w:r w:rsidRPr="00C95E25">
        <w:rPr>
          <w:rFonts w:cs="Arial"/>
          <w:bCs/>
          <w:color w:val="000000" w:themeColor="text1"/>
          <w:szCs w:val="22"/>
        </w:rPr>
        <w:t>. 2016;30(11):1253-4.</w:t>
      </w:r>
    </w:p>
    <w:p w14:paraId="4E1F882A" w14:textId="29510456" w:rsidR="002C51BC" w:rsidRPr="00C95E25" w:rsidRDefault="002C51BC" w:rsidP="00BD5D90">
      <w:pPr>
        <w:pStyle w:val="DataField11pt-Single"/>
        <w:rPr>
          <w:rStyle w:val="Strong"/>
        </w:rPr>
      </w:pPr>
    </w:p>
    <w:p w14:paraId="24200FF7" w14:textId="7D113D76" w:rsidR="00A43855" w:rsidRPr="00C95E25" w:rsidRDefault="00A43855" w:rsidP="00BD5D90">
      <w:pPr>
        <w:pStyle w:val="DataField11pt-Single"/>
        <w:rPr>
          <w:rStyle w:val="Strong"/>
        </w:rPr>
      </w:pPr>
    </w:p>
    <w:p w14:paraId="5DB25D72" w14:textId="77777777" w:rsidR="00A43855" w:rsidRPr="00C95E25" w:rsidRDefault="00A43855" w:rsidP="00A43855">
      <w:pPr>
        <w:pStyle w:val="DataField11pt-Single"/>
        <w:ind w:left="360"/>
        <w:rPr>
          <w:rStyle w:val="Strong"/>
          <w:bCs w:val="0"/>
          <w:szCs w:val="22"/>
        </w:rPr>
      </w:pPr>
      <w:r w:rsidRPr="00C95E25">
        <w:rPr>
          <w:rStyle w:val="Strong"/>
          <w:bCs w:val="0"/>
          <w:szCs w:val="22"/>
        </w:rPr>
        <w:t>Ongoing and recently completed projects relevant to this proposal that I would like to highlight include:</w:t>
      </w:r>
    </w:p>
    <w:p w14:paraId="1EB7BAE1" w14:textId="77777777" w:rsidR="00A43855" w:rsidRPr="00C95E25" w:rsidRDefault="00A43855" w:rsidP="00A43855">
      <w:pPr>
        <w:pStyle w:val="Subtitle2"/>
        <w:spacing w:before="0"/>
        <w:jc w:val="both"/>
        <w:rPr>
          <w:rFonts w:cs="Arial"/>
          <w:b w:val="0"/>
          <w:color w:val="000000" w:themeColor="text1"/>
          <w:sz w:val="8"/>
          <w:szCs w:val="8"/>
          <w:u w:val="none"/>
        </w:rPr>
      </w:pPr>
    </w:p>
    <w:p w14:paraId="098902C3" w14:textId="77777777" w:rsidR="00A43855" w:rsidRPr="00C95E25" w:rsidRDefault="00A43855" w:rsidP="00A43855">
      <w:pPr>
        <w:pStyle w:val="DataField11pt-Single"/>
        <w:numPr>
          <w:ilvl w:val="0"/>
          <w:numId w:val="31"/>
        </w:numPr>
        <w:rPr>
          <w:rStyle w:val="Strong"/>
          <w:b w:val="0"/>
          <w:szCs w:val="22"/>
        </w:rPr>
      </w:pPr>
      <w:r w:rsidRPr="00C95E25">
        <w:rPr>
          <w:rStyle w:val="Strong"/>
          <w:b w:val="0"/>
          <w:szCs w:val="22"/>
        </w:rPr>
        <w:t>1R01 HL155036</w:t>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r>
      <w:r w:rsidRPr="00C95E25">
        <w:rPr>
          <w:rStyle w:val="Strong"/>
          <w:b w:val="0"/>
          <w:szCs w:val="22"/>
        </w:rPr>
        <w:tab/>
        <w:t>6/30/2021-7/1/2025</w:t>
      </w:r>
    </w:p>
    <w:p w14:paraId="683BAF14" w14:textId="77777777" w:rsidR="00A43855" w:rsidRPr="00C95E25" w:rsidRDefault="00A43855" w:rsidP="00A43855">
      <w:pPr>
        <w:pStyle w:val="DataField11pt-Single"/>
        <w:ind w:left="360" w:firstLine="360"/>
        <w:rPr>
          <w:rStyle w:val="Strong"/>
          <w:b w:val="0"/>
          <w:szCs w:val="22"/>
        </w:rPr>
      </w:pPr>
      <w:r w:rsidRPr="00C95E25">
        <w:rPr>
          <w:rStyle w:val="Strong"/>
          <w:b w:val="0"/>
          <w:szCs w:val="22"/>
        </w:rPr>
        <w:t>National Heart Lung Blood Institute</w:t>
      </w:r>
    </w:p>
    <w:p w14:paraId="54B893F7" w14:textId="77777777" w:rsidR="00A43855" w:rsidRPr="00C95E25" w:rsidRDefault="00A43855" w:rsidP="00A43855">
      <w:pPr>
        <w:pStyle w:val="DataField11pt-Single"/>
        <w:ind w:left="360" w:firstLine="360"/>
        <w:rPr>
          <w:rStyle w:val="Strong"/>
          <w:b w:val="0"/>
          <w:i/>
          <w:szCs w:val="22"/>
        </w:rPr>
      </w:pPr>
      <w:r w:rsidRPr="00C95E25">
        <w:rPr>
          <w:rStyle w:val="Strong"/>
          <w:b w:val="0"/>
          <w:i/>
          <w:szCs w:val="22"/>
        </w:rPr>
        <w:t>A novel role for E2fs: E2f7 and E2f8 control motile ciliogenesis</w:t>
      </w:r>
    </w:p>
    <w:p w14:paraId="481154AE" w14:textId="54794C72" w:rsidR="00A43855" w:rsidRPr="00C95E25" w:rsidRDefault="00A43855" w:rsidP="00A43855">
      <w:pPr>
        <w:ind w:left="360" w:right="-540" w:firstLine="360"/>
        <w:jc w:val="both"/>
        <w:rPr>
          <w:rFonts w:cs="Arial"/>
          <w:szCs w:val="22"/>
          <w:lang w:bidi="en-US"/>
        </w:rPr>
      </w:pPr>
      <w:r w:rsidRPr="00C95E25">
        <w:rPr>
          <w:rFonts w:cs="Arial"/>
          <w:szCs w:val="22"/>
          <w:lang w:bidi="en-US"/>
        </w:rPr>
        <w:t>Role: PI</w:t>
      </w:r>
    </w:p>
    <w:p w14:paraId="5BEA6AE8" w14:textId="77777777" w:rsidR="00A43855" w:rsidRPr="00C95E25" w:rsidRDefault="00A43855" w:rsidP="00A43855">
      <w:pPr>
        <w:pStyle w:val="Subtitle2"/>
        <w:spacing w:before="0"/>
        <w:jc w:val="both"/>
        <w:rPr>
          <w:rFonts w:cs="Arial"/>
          <w:b w:val="0"/>
          <w:color w:val="000000" w:themeColor="text1"/>
          <w:sz w:val="8"/>
          <w:szCs w:val="8"/>
          <w:u w:val="none"/>
        </w:rPr>
      </w:pPr>
    </w:p>
    <w:p w14:paraId="4B141C00" w14:textId="77777777" w:rsidR="00A43855" w:rsidRPr="00C95E25" w:rsidRDefault="00A43855" w:rsidP="00A43855">
      <w:pPr>
        <w:pStyle w:val="Subtitle2"/>
        <w:numPr>
          <w:ilvl w:val="0"/>
          <w:numId w:val="31"/>
        </w:numPr>
        <w:spacing w:before="0"/>
        <w:jc w:val="both"/>
        <w:rPr>
          <w:rFonts w:cs="Arial"/>
          <w:b w:val="0"/>
          <w:color w:val="000000" w:themeColor="text1"/>
          <w:szCs w:val="22"/>
          <w:u w:val="none"/>
        </w:rPr>
      </w:pPr>
      <w:r w:rsidRPr="00C95E25">
        <w:rPr>
          <w:rFonts w:cs="Arial"/>
          <w:b w:val="0"/>
          <w:color w:val="000000" w:themeColor="text1"/>
          <w:szCs w:val="22"/>
          <w:u w:val="none"/>
        </w:rPr>
        <w:t>1R50CA251836</w:t>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r>
      <w:r w:rsidRPr="00C95E25">
        <w:rPr>
          <w:rFonts w:cs="Arial"/>
          <w:b w:val="0"/>
          <w:color w:val="000000" w:themeColor="text1"/>
          <w:szCs w:val="22"/>
          <w:u w:val="none"/>
        </w:rPr>
        <w:tab/>
        <w:t>Sept 2020 – Aug 2025</w:t>
      </w:r>
    </w:p>
    <w:p w14:paraId="5D82FE0C" w14:textId="77777777" w:rsidR="00A43855" w:rsidRPr="00C95E25" w:rsidRDefault="00A43855" w:rsidP="00A43855">
      <w:pPr>
        <w:pStyle w:val="Subtitle2"/>
        <w:spacing w:before="0"/>
        <w:ind w:left="360" w:firstLine="360"/>
        <w:jc w:val="both"/>
        <w:rPr>
          <w:rFonts w:cs="Arial"/>
          <w:b w:val="0"/>
          <w:bCs w:val="0"/>
          <w:i/>
          <w:iCs/>
          <w:color w:val="000000" w:themeColor="text1"/>
          <w:szCs w:val="22"/>
          <w:u w:val="none"/>
        </w:rPr>
      </w:pPr>
      <w:r w:rsidRPr="00C95E25">
        <w:rPr>
          <w:rFonts w:cs="Arial"/>
          <w:b w:val="0"/>
          <w:bCs w:val="0"/>
          <w:i/>
          <w:iCs/>
          <w:color w:val="000000" w:themeColor="text1"/>
          <w:szCs w:val="22"/>
          <w:u w:val="none"/>
        </w:rPr>
        <w:t>Mutant p53 gain-of-function as an actionable target in cancer therapy </w:t>
      </w:r>
    </w:p>
    <w:p w14:paraId="0558E83B" w14:textId="77777777" w:rsidR="00A43855" w:rsidRPr="00C95E25" w:rsidRDefault="00A43855" w:rsidP="00A43855">
      <w:pPr>
        <w:pStyle w:val="Subtitle2"/>
        <w:spacing w:before="0"/>
        <w:ind w:left="360" w:firstLine="360"/>
        <w:jc w:val="both"/>
        <w:rPr>
          <w:rFonts w:cs="Arial"/>
          <w:b w:val="0"/>
          <w:color w:val="000000" w:themeColor="text1"/>
          <w:szCs w:val="22"/>
          <w:u w:val="none"/>
        </w:rPr>
      </w:pPr>
      <w:r w:rsidRPr="00C95E25">
        <w:rPr>
          <w:rFonts w:cs="Arial"/>
          <w:b w:val="0"/>
          <w:color w:val="000000" w:themeColor="text1"/>
          <w:szCs w:val="22"/>
          <w:u w:val="none"/>
        </w:rPr>
        <w:t>National Cancer Institute</w:t>
      </w:r>
    </w:p>
    <w:p w14:paraId="3ED1D90E" w14:textId="16CE79F6" w:rsidR="00A43855" w:rsidRPr="00C95E25" w:rsidRDefault="00A43855" w:rsidP="00A43855">
      <w:pPr>
        <w:ind w:left="360" w:right="-547" w:firstLine="360"/>
        <w:jc w:val="both"/>
        <w:rPr>
          <w:rFonts w:cs="Arial"/>
          <w:color w:val="000000" w:themeColor="text1"/>
          <w:szCs w:val="22"/>
          <w:lang w:bidi="en-US"/>
        </w:rPr>
      </w:pPr>
      <w:r w:rsidRPr="00C95E25">
        <w:rPr>
          <w:rFonts w:cs="Arial"/>
          <w:color w:val="000000" w:themeColor="text1"/>
          <w:szCs w:val="22"/>
          <w:lang w:bidi="en-US"/>
        </w:rPr>
        <w:t>Role: Mentor</w:t>
      </w:r>
    </w:p>
    <w:p w14:paraId="1380BBB7" w14:textId="77777777" w:rsidR="00A43855" w:rsidRPr="00C95E25" w:rsidRDefault="00A43855" w:rsidP="00A43855">
      <w:pPr>
        <w:ind w:right="-540"/>
        <w:jc w:val="both"/>
        <w:rPr>
          <w:rFonts w:cs="Arial"/>
          <w:sz w:val="8"/>
          <w:szCs w:val="8"/>
          <w:lang w:bidi="en-US"/>
        </w:rPr>
      </w:pPr>
    </w:p>
    <w:p w14:paraId="4CAE15D9" w14:textId="6F92472D" w:rsidR="00A43855" w:rsidRPr="00C95E25" w:rsidRDefault="00A43855" w:rsidP="00A43855">
      <w:pPr>
        <w:pStyle w:val="ListParagraph"/>
        <w:numPr>
          <w:ilvl w:val="0"/>
          <w:numId w:val="31"/>
        </w:numPr>
        <w:ind w:right="-540"/>
        <w:contextualSpacing w:val="0"/>
        <w:jc w:val="both"/>
        <w:rPr>
          <w:rFonts w:cs="Arial"/>
          <w:szCs w:val="22"/>
          <w:lang w:bidi="en-US"/>
        </w:rPr>
      </w:pPr>
      <w:r w:rsidRPr="00C95E25">
        <w:rPr>
          <w:rFonts w:cs="Arial"/>
          <w:szCs w:val="22"/>
          <w:lang w:bidi="en-US"/>
        </w:rPr>
        <w:t xml:space="preserve">2R01CA176647    </w:t>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r>
      <w:r w:rsidRPr="00C95E25">
        <w:rPr>
          <w:rFonts w:cs="Arial"/>
          <w:szCs w:val="22"/>
          <w:lang w:bidi="en-US"/>
        </w:rPr>
        <w:tab/>
        <w:t xml:space="preserve">July </w:t>
      </w:r>
      <w:r w:rsidRPr="00C95E25">
        <w:rPr>
          <w:rFonts w:cs="Arial"/>
          <w:bCs/>
          <w:szCs w:val="22"/>
        </w:rPr>
        <w:t xml:space="preserve">2018 </w:t>
      </w:r>
      <w:r w:rsidRPr="00C95E25">
        <w:rPr>
          <w:rFonts w:cs="Arial"/>
          <w:szCs w:val="22"/>
        </w:rPr>
        <w:t xml:space="preserve">– </w:t>
      </w:r>
      <w:r w:rsidRPr="00C95E25">
        <w:rPr>
          <w:rFonts w:cs="Arial"/>
          <w:bCs/>
          <w:szCs w:val="22"/>
        </w:rPr>
        <w:t>June 202</w:t>
      </w:r>
      <w:r w:rsidR="00E53183" w:rsidRPr="00C95E25">
        <w:rPr>
          <w:rFonts w:cs="Arial"/>
          <w:bCs/>
          <w:szCs w:val="22"/>
        </w:rPr>
        <w:t>4</w:t>
      </w:r>
    </w:p>
    <w:p w14:paraId="4D8912C7" w14:textId="77777777" w:rsidR="00A43855" w:rsidRPr="00C95E25" w:rsidRDefault="00A43855" w:rsidP="00A43855">
      <w:pPr>
        <w:ind w:left="360" w:right="-540" w:firstLine="360"/>
        <w:jc w:val="both"/>
        <w:rPr>
          <w:rFonts w:cs="Arial"/>
          <w:bCs/>
          <w:szCs w:val="22"/>
        </w:rPr>
      </w:pPr>
      <w:r w:rsidRPr="00C95E25">
        <w:rPr>
          <w:rFonts w:cs="Arial"/>
          <w:bCs/>
          <w:i/>
          <w:szCs w:val="22"/>
        </w:rPr>
        <w:t>Mutant p53 as an actionable cancer-specific target</w:t>
      </w:r>
    </w:p>
    <w:p w14:paraId="1EA23A2E" w14:textId="77777777" w:rsidR="00A43855" w:rsidRPr="00C95E25" w:rsidRDefault="00A43855" w:rsidP="00A43855">
      <w:pPr>
        <w:ind w:left="360" w:right="-540" w:firstLine="360"/>
        <w:jc w:val="both"/>
        <w:rPr>
          <w:rFonts w:cs="Arial"/>
          <w:szCs w:val="22"/>
          <w:lang w:bidi="en-US"/>
        </w:rPr>
      </w:pPr>
      <w:r w:rsidRPr="00C95E25">
        <w:rPr>
          <w:rFonts w:cs="Arial"/>
          <w:szCs w:val="22"/>
          <w:lang w:bidi="en-US"/>
        </w:rPr>
        <w:t>National Cancer Institute</w:t>
      </w:r>
    </w:p>
    <w:p w14:paraId="509EC10A" w14:textId="4EA5E007" w:rsidR="00A43855" w:rsidRPr="00840D97" w:rsidRDefault="00A43855" w:rsidP="00A43855">
      <w:pPr>
        <w:ind w:left="360" w:right="-540" w:firstLine="360"/>
        <w:jc w:val="both"/>
        <w:rPr>
          <w:rFonts w:cs="Arial"/>
          <w:szCs w:val="22"/>
          <w:lang w:bidi="en-US"/>
        </w:rPr>
      </w:pPr>
      <w:r w:rsidRPr="00C95E25">
        <w:rPr>
          <w:rFonts w:cs="Arial"/>
          <w:szCs w:val="22"/>
          <w:lang w:bidi="en-US"/>
        </w:rPr>
        <w:t>Role: PI</w:t>
      </w:r>
    </w:p>
    <w:p w14:paraId="75607DA9" w14:textId="77777777" w:rsidR="00A43855" w:rsidRPr="00124770" w:rsidRDefault="00A43855" w:rsidP="00A43855">
      <w:pPr>
        <w:ind w:right="-540"/>
        <w:rPr>
          <w:rFonts w:cs="Arial"/>
          <w:sz w:val="8"/>
          <w:szCs w:val="8"/>
        </w:rPr>
      </w:pPr>
    </w:p>
    <w:p w14:paraId="11C1C537" w14:textId="05B636F9" w:rsidR="00A43855" w:rsidRPr="00840D97" w:rsidRDefault="00A43855" w:rsidP="00A43855">
      <w:pPr>
        <w:pStyle w:val="ListParagraph"/>
        <w:numPr>
          <w:ilvl w:val="0"/>
          <w:numId w:val="31"/>
        </w:numPr>
        <w:ind w:right="-540"/>
        <w:contextualSpacing w:val="0"/>
        <w:rPr>
          <w:rFonts w:cs="Arial"/>
          <w:szCs w:val="22"/>
        </w:rPr>
      </w:pPr>
      <w:r w:rsidRPr="00840D97">
        <w:rPr>
          <w:rFonts w:cs="Arial"/>
          <w:szCs w:val="22"/>
        </w:rPr>
        <w:t>1R01HL129223-01</w:t>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t xml:space="preserve"> </w:t>
      </w:r>
      <w:r w:rsidRPr="00840D97">
        <w:rPr>
          <w:rFonts w:cs="Arial"/>
          <w:szCs w:val="22"/>
          <w:lang w:bidi="en-US"/>
        </w:rPr>
        <w:t>Sep 2015 – May 2020</w:t>
      </w:r>
      <w:r w:rsidRPr="00840D97">
        <w:rPr>
          <w:rFonts w:cs="Arial"/>
          <w:szCs w:val="22"/>
        </w:rPr>
        <w:tab/>
        <w:t xml:space="preserve"> </w:t>
      </w:r>
      <w:r w:rsidRPr="00840D97">
        <w:rPr>
          <w:rFonts w:cs="Arial"/>
          <w:szCs w:val="22"/>
        </w:rPr>
        <w:tab/>
      </w:r>
      <w:r w:rsidRPr="00840D97">
        <w:rPr>
          <w:rFonts w:cs="Arial"/>
          <w:szCs w:val="22"/>
        </w:rPr>
        <w:tab/>
      </w:r>
    </w:p>
    <w:p w14:paraId="51B79C88" w14:textId="77777777" w:rsidR="00A43855" w:rsidRPr="00840D97" w:rsidRDefault="00A43855" w:rsidP="00A43855">
      <w:pPr>
        <w:ind w:left="360" w:right="-540" w:firstLine="360"/>
        <w:rPr>
          <w:rFonts w:cs="Arial"/>
          <w:szCs w:val="22"/>
        </w:rPr>
      </w:pPr>
      <w:r w:rsidRPr="00840D97">
        <w:rPr>
          <w:rFonts w:cs="Arial"/>
          <w:i/>
          <w:szCs w:val="22"/>
        </w:rPr>
        <w:t>p73 is a novel master regulator of the airway epithelium</w:t>
      </w:r>
    </w:p>
    <w:p w14:paraId="0BFCE72D" w14:textId="77777777" w:rsidR="00A43855" w:rsidRPr="00840D97" w:rsidRDefault="00A43855" w:rsidP="00A43855">
      <w:pPr>
        <w:spacing w:line="276" w:lineRule="auto"/>
        <w:ind w:left="360" w:firstLine="360"/>
        <w:jc w:val="both"/>
        <w:rPr>
          <w:rFonts w:cs="Arial"/>
          <w:szCs w:val="22"/>
        </w:rPr>
      </w:pPr>
      <w:r w:rsidRPr="00840D97">
        <w:rPr>
          <w:rFonts w:cs="Arial"/>
          <w:szCs w:val="22"/>
        </w:rPr>
        <w:t xml:space="preserve">National Heart Lung Blood Institute </w:t>
      </w:r>
      <w:r w:rsidRPr="00840D97">
        <w:rPr>
          <w:rFonts w:cs="Arial"/>
          <w:szCs w:val="22"/>
        </w:rPr>
        <w:tab/>
      </w:r>
    </w:p>
    <w:p w14:paraId="003D4DB1" w14:textId="444C8B84" w:rsidR="00A43855" w:rsidRPr="00840D97" w:rsidRDefault="00A43855" w:rsidP="00A43855">
      <w:pPr>
        <w:spacing w:line="276" w:lineRule="auto"/>
        <w:ind w:left="360" w:firstLine="360"/>
        <w:jc w:val="both"/>
        <w:rPr>
          <w:rFonts w:cs="Arial"/>
          <w:szCs w:val="22"/>
        </w:rPr>
      </w:pPr>
      <w:r w:rsidRPr="00840D97">
        <w:rPr>
          <w:rFonts w:cs="Arial"/>
          <w:szCs w:val="22"/>
        </w:rPr>
        <w:t xml:space="preserve">Role: </w:t>
      </w:r>
      <w:r>
        <w:rPr>
          <w:rFonts w:cs="Arial"/>
          <w:szCs w:val="22"/>
        </w:rPr>
        <w:t>PI</w:t>
      </w:r>
    </w:p>
    <w:p w14:paraId="4ADA3673" w14:textId="77777777" w:rsidR="00A43855" w:rsidRPr="00124770" w:rsidRDefault="00A43855" w:rsidP="00A43855">
      <w:pPr>
        <w:spacing w:line="276" w:lineRule="auto"/>
        <w:jc w:val="both"/>
        <w:rPr>
          <w:rFonts w:cs="Arial"/>
          <w:sz w:val="8"/>
          <w:szCs w:val="8"/>
        </w:rPr>
      </w:pPr>
    </w:p>
    <w:p w14:paraId="3067A7A1" w14:textId="5B00C3E4" w:rsidR="00A43855" w:rsidRPr="00840D97" w:rsidRDefault="00A43855" w:rsidP="00A43855">
      <w:pPr>
        <w:pStyle w:val="ListParagraph"/>
        <w:numPr>
          <w:ilvl w:val="0"/>
          <w:numId w:val="31"/>
        </w:numPr>
        <w:spacing w:line="276" w:lineRule="auto"/>
        <w:contextualSpacing w:val="0"/>
        <w:jc w:val="both"/>
        <w:rPr>
          <w:rFonts w:cs="Arial"/>
          <w:szCs w:val="22"/>
        </w:rPr>
      </w:pPr>
      <w:r w:rsidRPr="00840D97">
        <w:rPr>
          <w:rFonts w:cs="Arial"/>
          <w:szCs w:val="22"/>
        </w:rPr>
        <w:t xml:space="preserve">Postdoctoral Fellowship </w:t>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r>
      <w:r w:rsidRPr="00840D97">
        <w:rPr>
          <w:rFonts w:cs="Arial"/>
          <w:szCs w:val="22"/>
        </w:rPr>
        <w:tab/>
        <w:t xml:space="preserve"> </w:t>
      </w:r>
      <w:r w:rsidRPr="00840D97">
        <w:rPr>
          <w:rFonts w:cs="Arial"/>
          <w:szCs w:val="22"/>
        </w:rPr>
        <w:tab/>
      </w:r>
      <w:r w:rsidRPr="00840D97">
        <w:rPr>
          <w:rFonts w:cs="Arial"/>
          <w:szCs w:val="22"/>
        </w:rPr>
        <w:tab/>
      </w:r>
      <w:r>
        <w:rPr>
          <w:rFonts w:cs="Arial"/>
          <w:szCs w:val="22"/>
        </w:rPr>
        <w:tab/>
      </w:r>
      <w:r>
        <w:rPr>
          <w:rFonts w:cs="Arial"/>
          <w:szCs w:val="22"/>
        </w:rPr>
        <w:tab/>
      </w:r>
      <w:r w:rsidR="001A7BB7">
        <w:rPr>
          <w:rFonts w:cs="Arial"/>
          <w:szCs w:val="22"/>
        </w:rPr>
        <w:t xml:space="preserve"> </w:t>
      </w:r>
      <w:r w:rsidRPr="00840D97">
        <w:rPr>
          <w:rFonts w:cs="Arial"/>
          <w:szCs w:val="22"/>
        </w:rPr>
        <w:t>Jan 2008 – Dec 2010</w:t>
      </w:r>
      <w:r w:rsidRPr="00840D97">
        <w:rPr>
          <w:rFonts w:cs="Arial"/>
          <w:szCs w:val="22"/>
        </w:rPr>
        <w:tab/>
        <w:t xml:space="preserve"> </w:t>
      </w:r>
    </w:p>
    <w:p w14:paraId="1396A927" w14:textId="77777777" w:rsidR="00A43855" w:rsidRPr="00840D97" w:rsidRDefault="00A43855" w:rsidP="00A43855">
      <w:pPr>
        <w:spacing w:line="276" w:lineRule="auto"/>
        <w:ind w:left="360" w:firstLine="360"/>
        <w:jc w:val="both"/>
        <w:rPr>
          <w:rFonts w:cs="Arial"/>
          <w:szCs w:val="22"/>
        </w:rPr>
      </w:pPr>
      <w:r w:rsidRPr="00840D97">
        <w:rPr>
          <w:rFonts w:cs="Arial"/>
          <w:i/>
          <w:szCs w:val="22"/>
        </w:rPr>
        <w:t>Role of p73 in B-cell lymphomagenesis</w:t>
      </w:r>
      <w:r w:rsidRPr="00840D97">
        <w:rPr>
          <w:rFonts w:cs="Arial"/>
          <w:szCs w:val="22"/>
        </w:rPr>
        <w:t xml:space="preserve"> </w:t>
      </w:r>
    </w:p>
    <w:p w14:paraId="15E3F298" w14:textId="77777777" w:rsidR="00A43855" w:rsidRPr="00840D97" w:rsidRDefault="00A43855" w:rsidP="00A43855">
      <w:pPr>
        <w:spacing w:line="276" w:lineRule="auto"/>
        <w:ind w:left="360" w:firstLine="360"/>
        <w:jc w:val="both"/>
        <w:rPr>
          <w:rFonts w:cs="Arial"/>
          <w:szCs w:val="22"/>
        </w:rPr>
      </w:pPr>
      <w:r w:rsidRPr="00840D97">
        <w:rPr>
          <w:rFonts w:cs="Arial"/>
          <w:szCs w:val="22"/>
        </w:rPr>
        <w:t xml:space="preserve">The Lymphoma Research Foundation </w:t>
      </w:r>
    </w:p>
    <w:p w14:paraId="64DE7840" w14:textId="4BBA1C49" w:rsidR="00A43855" w:rsidRPr="00840D97" w:rsidRDefault="00A43855" w:rsidP="00A43855">
      <w:pPr>
        <w:spacing w:line="276" w:lineRule="auto"/>
        <w:ind w:left="360" w:firstLine="360"/>
        <w:jc w:val="both"/>
        <w:rPr>
          <w:rStyle w:val="Strong"/>
          <w:rFonts w:cs="Arial"/>
          <w:b w:val="0"/>
          <w:bCs w:val="0"/>
          <w:szCs w:val="22"/>
        </w:rPr>
      </w:pPr>
      <w:r w:rsidRPr="00840D97">
        <w:rPr>
          <w:rFonts w:cs="Arial"/>
          <w:szCs w:val="22"/>
        </w:rPr>
        <w:t xml:space="preserve">Role: </w:t>
      </w:r>
      <w:r>
        <w:rPr>
          <w:rFonts w:cs="Arial"/>
          <w:szCs w:val="22"/>
        </w:rPr>
        <w:t>Mentor</w:t>
      </w:r>
    </w:p>
    <w:p w14:paraId="14DF8AB5" w14:textId="77777777" w:rsidR="00BD5D90" w:rsidRPr="00A128A0" w:rsidRDefault="00BD5D90" w:rsidP="00BD5D90">
      <w:pPr>
        <w:pStyle w:val="DataField11pt-Single"/>
        <w:rPr>
          <w:rStyle w:val="Strong"/>
        </w:rPr>
      </w:pPr>
    </w:p>
    <w:p w14:paraId="7FEC91BD" w14:textId="77777777" w:rsidR="00997894" w:rsidRDefault="002C51BC" w:rsidP="00BD5D90">
      <w:pPr>
        <w:ind w:right="-540"/>
        <w:rPr>
          <w:rFonts w:cs="Arial"/>
          <w:b/>
          <w:szCs w:val="22"/>
        </w:rPr>
      </w:pPr>
      <w:r w:rsidRPr="00A128A0">
        <w:rPr>
          <w:rStyle w:val="Strong"/>
        </w:rPr>
        <w:t>B.</w:t>
      </w:r>
      <w:r w:rsidRPr="00A128A0">
        <w:rPr>
          <w:rStyle w:val="Strong"/>
        </w:rPr>
        <w:tab/>
        <w:t>Positions and Honors</w:t>
      </w:r>
      <w:r w:rsidR="00FE10AD">
        <w:rPr>
          <w:rStyle w:val="Strong"/>
        </w:rPr>
        <w:br/>
      </w:r>
    </w:p>
    <w:p w14:paraId="1AF97011" w14:textId="656C1EF5" w:rsidR="00BD5D90" w:rsidRDefault="00BD5D90" w:rsidP="00BD5D90">
      <w:pPr>
        <w:ind w:right="-540"/>
        <w:rPr>
          <w:rFonts w:cs="Arial"/>
          <w:b/>
          <w:szCs w:val="22"/>
        </w:rPr>
      </w:pPr>
      <w:r w:rsidRPr="00B91031">
        <w:rPr>
          <w:rFonts w:cs="Arial"/>
          <w:b/>
          <w:szCs w:val="22"/>
        </w:rPr>
        <w:t xml:space="preserve">Positions </w:t>
      </w:r>
    </w:p>
    <w:p w14:paraId="286F7AAE" w14:textId="77777777" w:rsidR="00E501A4" w:rsidRPr="00E501A4" w:rsidRDefault="00E501A4" w:rsidP="00BD5D90">
      <w:pPr>
        <w:ind w:right="-540"/>
        <w:rPr>
          <w:rFonts w:cs="Arial"/>
          <w:b/>
          <w:sz w:val="6"/>
          <w:szCs w:val="6"/>
        </w:rPr>
      </w:pPr>
    </w:p>
    <w:p w14:paraId="7B0A3DA5" w14:textId="77777777" w:rsidR="00E501A4" w:rsidRDefault="00E501A4" w:rsidP="00E501A4">
      <w:pPr>
        <w:ind w:left="1440" w:right="-540" w:hanging="1440"/>
        <w:jc w:val="both"/>
        <w:rPr>
          <w:rFonts w:cs="Arial"/>
          <w:szCs w:val="22"/>
        </w:rPr>
      </w:pPr>
      <w:r>
        <w:rPr>
          <w:rFonts w:cs="Arial"/>
          <w:szCs w:val="22"/>
        </w:rPr>
        <w:t>since 2018</w:t>
      </w:r>
      <w:r>
        <w:rPr>
          <w:rFonts w:cs="Arial"/>
          <w:szCs w:val="22"/>
        </w:rPr>
        <w:tab/>
        <w:t>SUNY Distinguished Professor</w:t>
      </w:r>
    </w:p>
    <w:p w14:paraId="1F630607" w14:textId="77777777" w:rsidR="00E501A4" w:rsidRDefault="00E501A4" w:rsidP="00E501A4">
      <w:pPr>
        <w:ind w:left="1440" w:right="-540" w:hanging="1440"/>
        <w:jc w:val="both"/>
        <w:rPr>
          <w:rFonts w:cs="Arial"/>
          <w:szCs w:val="22"/>
        </w:rPr>
      </w:pPr>
      <w:r>
        <w:rPr>
          <w:rFonts w:cs="Arial"/>
          <w:szCs w:val="22"/>
        </w:rPr>
        <w:t>since 2016</w:t>
      </w:r>
      <w:r>
        <w:rPr>
          <w:rFonts w:cs="Arial"/>
          <w:szCs w:val="22"/>
        </w:rPr>
        <w:tab/>
        <w:t xml:space="preserve">Co-Program Leader, Stony Brook Cancer Center </w:t>
      </w:r>
    </w:p>
    <w:p w14:paraId="1630D7CE" w14:textId="77777777" w:rsidR="00E501A4" w:rsidRPr="006B5751" w:rsidRDefault="00E501A4" w:rsidP="00E501A4">
      <w:pPr>
        <w:ind w:right="-540"/>
        <w:rPr>
          <w:rFonts w:cs="Arial"/>
          <w:szCs w:val="22"/>
        </w:rPr>
      </w:pPr>
      <w:r>
        <w:rPr>
          <w:rFonts w:cs="Arial"/>
          <w:szCs w:val="22"/>
        </w:rPr>
        <w:t>s</w:t>
      </w:r>
      <w:r w:rsidRPr="006B5751">
        <w:rPr>
          <w:rFonts w:cs="Arial"/>
          <w:szCs w:val="22"/>
        </w:rPr>
        <w:t>ince 2009</w:t>
      </w:r>
      <w:r w:rsidRPr="006B5751">
        <w:rPr>
          <w:rFonts w:cs="Arial"/>
          <w:szCs w:val="22"/>
        </w:rPr>
        <w:tab/>
      </w:r>
      <w:r>
        <w:rPr>
          <w:rFonts w:cs="Arial"/>
          <w:szCs w:val="22"/>
        </w:rPr>
        <w:tab/>
      </w:r>
      <w:r w:rsidRPr="006B5751">
        <w:rPr>
          <w:rFonts w:cs="Arial"/>
          <w:szCs w:val="22"/>
        </w:rPr>
        <w:t xml:space="preserve">Vice Chair for </w:t>
      </w:r>
      <w:r>
        <w:rPr>
          <w:rFonts w:cs="Arial"/>
          <w:szCs w:val="22"/>
        </w:rPr>
        <w:t>Research</w:t>
      </w:r>
      <w:r w:rsidRPr="006B5751">
        <w:rPr>
          <w:rFonts w:cs="Arial"/>
          <w:szCs w:val="22"/>
        </w:rPr>
        <w:t>, Dept. of Pathology Stony Brook University</w:t>
      </w:r>
    </w:p>
    <w:p w14:paraId="716252D6" w14:textId="77777777" w:rsidR="00E501A4" w:rsidRPr="006B5751" w:rsidRDefault="00E501A4" w:rsidP="00E501A4">
      <w:pPr>
        <w:ind w:right="-540"/>
        <w:rPr>
          <w:rFonts w:cs="Arial"/>
          <w:szCs w:val="22"/>
        </w:rPr>
      </w:pPr>
      <w:r>
        <w:rPr>
          <w:rFonts w:cs="Arial"/>
          <w:szCs w:val="22"/>
        </w:rPr>
        <w:t>s</w:t>
      </w:r>
      <w:r w:rsidRPr="006B5751">
        <w:rPr>
          <w:rFonts w:cs="Arial"/>
          <w:szCs w:val="22"/>
        </w:rPr>
        <w:t>ince 2007</w:t>
      </w:r>
      <w:r w:rsidRPr="006B5751">
        <w:rPr>
          <w:rFonts w:cs="Arial"/>
          <w:szCs w:val="22"/>
        </w:rPr>
        <w:tab/>
      </w:r>
      <w:r>
        <w:rPr>
          <w:rFonts w:cs="Arial"/>
          <w:szCs w:val="22"/>
        </w:rPr>
        <w:tab/>
      </w:r>
      <w:r w:rsidRPr="006B5751">
        <w:rPr>
          <w:rFonts w:cs="Arial"/>
          <w:szCs w:val="22"/>
        </w:rPr>
        <w:t>Visiting Professor, Dept. of Molecular Oncology, University of Göttingen, Germany</w:t>
      </w:r>
    </w:p>
    <w:p w14:paraId="7BAFA805" w14:textId="77777777" w:rsidR="00BD5D90" w:rsidRPr="006B5751" w:rsidRDefault="00BD5D90" w:rsidP="00BD5D90">
      <w:pPr>
        <w:ind w:right="-540"/>
        <w:rPr>
          <w:rFonts w:cs="Arial"/>
          <w:szCs w:val="22"/>
        </w:rPr>
      </w:pPr>
      <w:r>
        <w:rPr>
          <w:rFonts w:cs="Arial"/>
          <w:szCs w:val="22"/>
        </w:rPr>
        <w:t>s</w:t>
      </w:r>
      <w:r w:rsidRPr="006B5751">
        <w:rPr>
          <w:rFonts w:cs="Arial"/>
          <w:szCs w:val="22"/>
        </w:rPr>
        <w:t xml:space="preserve">ince 2002 </w:t>
      </w:r>
      <w:r w:rsidRPr="006B5751">
        <w:rPr>
          <w:rFonts w:cs="Arial"/>
          <w:szCs w:val="22"/>
        </w:rPr>
        <w:tab/>
        <w:t>Full Professor, Dept. of Pathology, Stony Brook University</w:t>
      </w:r>
    </w:p>
    <w:p w14:paraId="55B801C6" w14:textId="77777777" w:rsidR="00BD5D90" w:rsidRPr="00E0167B" w:rsidRDefault="00BD5D90" w:rsidP="00BD5D90">
      <w:pPr>
        <w:ind w:right="-540"/>
        <w:jc w:val="both"/>
        <w:rPr>
          <w:rFonts w:cs="Arial"/>
          <w:sz w:val="6"/>
          <w:szCs w:val="6"/>
        </w:rPr>
      </w:pPr>
    </w:p>
    <w:p w14:paraId="0F28F62E" w14:textId="77777777" w:rsidR="00BD5D90" w:rsidRPr="00B91031" w:rsidRDefault="00BD5D90" w:rsidP="00BD5D90">
      <w:pPr>
        <w:ind w:right="-540"/>
        <w:rPr>
          <w:rFonts w:cs="Arial"/>
          <w:b/>
          <w:szCs w:val="22"/>
        </w:rPr>
      </w:pPr>
      <w:r w:rsidRPr="00B91031">
        <w:rPr>
          <w:rFonts w:cs="Arial"/>
          <w:b/>
          <w:szCs w:val="22"/>
        </w:rPr>
        <w:t>Honors and Awards</w:t>
      </w:r>
    </w:p>
    <w:p w14:paraId="3178EFBE" w14:textId="77777777" w:rsidR="00BD5D90" w:rsidRPr="00147B33" w:rsidRDefault="00BD5D90" w:rsidP="00BD5D90">
      <w:pPr>
        <w:ind w:right="-540"/>
        <w:rPr>
          <w:rFonts w:cs="Arial"/>
          <w:sz w:val="6"/>
          <w:szCs w:val="6"/>
        </w:rPr>
      </w:pPr>
    </w:p>
    <w:p w14:paraId="7206072B" w14:textId="77777777" w:rsidR="00E501A4" w:rsidRPr="007D7170" w:rsidRDefault="00E501A4" w:rsidP="00E501A4">
      <w:pPr>
        <w:ind w:right="-540"/>
        <w:jc w:val="both"/>
        <w:rPr>
          <w:rStyle w:val="Strong"/>
          <w:rFonts w:cs="Arial"/>
          <w:b w:val="0"/>
          <w:bCs w:val="0"/>
          <w:szCs w:val="22"/>
        </w:rPr>
      </w:pPr>
      <w:r>
        <w:rPr>
          <w:rFonts w:cs="Arial"/>
          <w:szCs w:val="22"/>
        </w:rPr>
        <w:t>since 2019</w:t>
      </w:r>
      <w:r>
        <w:rPr>
          <w:rFonts w:cs="Arial"/>
          <w:szCs w:val="22"/>
        </w:rPr>
        <w:tab/>
      </w:r>
      <w:r>
        <w:rPr>
          <w:rFonts w:cs="Arial"/>
          <w:szCs w:val="22"/>
        </w:rPr>
        <w:tab/>
        <w:t>Endowed Renaissance Professor of Cancer Biology</w:t>
      </w:r>
    </w:p>
    <w:p w14:paraId="7CCC289C" w14:textId="77777777" w:rsidR="00E501A4" w:rsidRDefault="00E501A4" w:rsidP="00E501A4">
      <w:pPr>
        <w:pStyle w:val="DataField11pt-Single"/>
        <w:rPr>
          <w:szCs w:val="22"/>
        </w:rPr>
      </w:pPr>
      <w:r>
        <w:rPr>
          <w:szCs w:val="22"/>
        </w:rPr>
        <w:t>2018</w:t>
      </w:r>
      <w:r>
        <w:rPr>
          <w:szCs w:val="22"/>
        </w:rPr>
        <w:tab/>
      </w:r>
      <w:r>
        <w:rPr>
          <w:szCs w:val="22"/>
        </w:rPr>
        <w:tab/>
      </w:r>
      <w:r>
        <w:rPr>
          <w:szCs w:val="22"/>
        </w:rPr>
        <w:tab/>
      </w:r>
      <w:r w:rsidRPr="00AA6D98">
        <w:rPr>
          <w:szCs w:val="22"/>
        </w:rPr>
        <w:t xml:space="preserve">Stony Brook – Mount Sinai Alliance </w:t>
      </w:r>
      <w:r>
        <w:rPr>
          <w:szCs w:val="22"/>
        </w:rPr>
        <w:t>Award</w:t>
      </w:r>
    </w:p>
    <w:p w14:paraId="69975C07" w14:textId="77777777" w:rsidR="00E501A4" w:rsidRDefault="00E501A4" w:rsidP="00E501A4">
      <w:pPr>
        <w:ind w:right="-540"/>
        <w:jc w:val="both"/>
        <w:rPr>
          <w:rFonts w:cs="Arial"/>
          <w:szCs w:val="22"/>
        </w:rPr>
      </w:pPr>
      <w:r>
        <w:rPr>
          <w:rFonts w:cs="Arial"/>
          <w:szCs w:val="22"/>
        </w:rPr>
        <w:t>2018</w:t>
      </w:r>
      <w:r>
        <w:rPr>
          <w:rFonts w:cs="Arial"/>
          <w:szCs w:val="22"/>
        </w:rPr>
        <w:tab/>
      </w:r>
      <w:r>
        <w:rPr>
          <w:rFonts w:cs="Arial"/>
          <w:szCs w:val="22"/>
        </w:rPr>
        <w:tab/>
      </w:r>
      <w:r>
        <w:rPr>
          <w:rFonts w:cs="Arial"/>
          <w:szCs w:val="22"/>
        </w:rPr>
        <w:tab/>
      </w:r>
      <w:r w:rsidRPr="006B5751">
        <w:rPr>
          <w:rFonts w:cs="Arial"/>
          <w:szCs w:val="22"/>
        </w:rPr>
        <w:t xml:space="preserve">Baldwin Award for Cancer Research, Stony Brook </w:t>
      </w:r>
      <w:r>
        <w:rPr>
          <w:rFonts w:cs="Arial"/>
          <w:szCs w:val="22"/>
        </w:rPr>
        <w:t>Foundation</w:t>
      </w:r>
    </w:p>
    <w:p w14:paraId="0CC2B7E2" w14:textId="77777777" w:rsidR="00E501A4" w:rsidRDefault="00E501A4" w:rsidP="00E501A4">
      <w:pPr>
        <w:ind w:right="-540"/>
        <w:jc w:val="both"/>
        <w:rPr>
          <w:rFonts w:cs="Arial"/>
          <w:szCs w:val="22"/>
        </w:rPr>
      </w:pPr>
      <w:r w:rsidRPr="006B5751">
        <w:rPr>
          <w:rFonts w:cs="Arial"/>
          <w:szCs w:val="22"/>
        </w:rPr>
        <w:t>2017</w:t>
      </w:r>
      <w:r w:rsidRPr="006B5751">
        <w:rPr>
          <w:rFonts w:cs="Arial"/>
          <w:szCs w:val="22"/>
        </w:rPr>
        <w:tab/>
      </w:r>
      <w:r w:rsidRPr="006B5751">
        <w:rPr>
          <w:rFonts w:cs="Arial"/>
          <w:szCs w:val="22"/>
        </w:rPr>
        <w:tab/>
      </w:r>
      <w:r w:rsidRPr="006B5751">
        <w:rPr>
          <w:rFonts w:cs="Arial"/>
          <w:szCs w:val="22"/>
        </w:rPr>
        <w:tab/>
        <w:t>SUNY Central Chancellor's Award for Excellence in Scholarship</w:t>
      </w:r>
    </w:p>
    <w:p w14:paraId="4624F185" w14:textId="77777777" w:rsidR="00E501A4" w:rsidRDefault="00E501A4" w:rsidP="00BD5D90">
      <w:pPr>
        <w:ind w:right="-540"/>
        <w:rPr>
          <w:rFonts w:cs="Arial"/>
          <w:szCs w:val="22"/>
        </w:rPr>
      </w:pPr>
      <w:r w:rsidRPr="006B5751">
        <w:rPr>
          <w:rFonts w:cs="Arial"/>
          <w:szCs w:val="22"/>
        </w:rPr>
        <w:t>2015-2017</w:t>
      </w:r>
      <w:r w:rsidRPr="006B5751">
        <w:rPr>
          <w:rFonts w:cs="Arial"/>
          <w:szCs w:val="22"/>
        </w:rPr>
        <w:tab/>
      </w:r>
      <w:r w:rsidRPr="006B5751">
        <w:rPr>
          <w:rFonts w:cs="Arial"/>
          <w:szCs w:val="22"/>
        </w:rPr>
        <w:tab/>
        <w:t xml:space="preserve">Walk for Beauty Award in Breast Cancer Research, Stony Brook Foundation </w:t>
      </w:r>
    </w:p>
    <w:p w14:paraId="2A12CFFB" w14:textId="77777777" w:rsidR="00E501A4" w:rsidRPr="006B5751" w:rsidRDefault="00E501A4" w:rsidP="00E501A4">
      <w:pPr>
        <w:ind w:right="-540"/>
        <w:jc w:val="both"/>
        <w:rPr>
          <w:rFonts w:cs="Arial"/>
          <w:szCs w:val="22"/>
        </w:rPr>
      </w:pPr>
      <w:r w:rsidRPr="006B5751">
        <w:rPr>
          <w:rFonts w:cs="Arial"/>
          <w:szCs w:val="22"/>
        </w:rPr>
        <w:t>2013-2014</w:t>
      </w:r>
      <w:r w:rsidRPr="006B5751">
        <w:rPr>
          <w:rFonts w:cs="Arial"/>
          <w:szCs w:val="22"/>
        </w:rPr>
        <w:tab/>
      </w:r>
      <w:r w:rsidRPr="006B5751">
        <w:rPr>
          <w:rFonts w:cs="Arial"/>
          <w:szCs w:val="22"/>
        </w:rPr>
        <w:tab/>
        <w:t>Catacosinos Award in Cancer Research, Stony Brook Foundation</w:t>
      </w:r>
    </w:p>
    <w:p w14:paraId="4A7B64E6" w14:textId="77777777" w:rsidR="00E501A4" w:rsidRPr="006B5751" w:rsidRDefault="00E501A4" w:rsidP="00E501A4">
      <w:pPr>
        <w:ind w:right="-540"/>
        <w:rPr>
          <w:rFonts w:cs="Arial"/>
          <w:szCs w:val="22"/>
        </w:rPr>
      </w:pPr>
      <w:r w:rsidRPr="006B5751">
        <w:rPr>
          <w:rFonts w:cs="Arial"/>
          <w:szCs w:val="22"/>
        </w:rPr>
        <w:t>2013</w:t>
      </w:r>
      <w:r w:rsidRPr="006B5751">
        <w:rPr>
          <w:rFonts w:cs="Arial"/>
          <w:szCs w:val="22"/>
        </w:rPr>
        <w:tab/>
      </w:r>
      <w:r w:rsidRPr="006B5751">
        <w:rPr>
          <w:rFonts w:cs="Arial"/>
          <w:szCs w:val="22"/>
        </w:rPr>
        <w:tab/>
      </w:r>
      <w:r w:rsidRPr="006B5751">
        <w:rPr>
          <w:rFonts w:cs="Arial"/>
          <w:szCs w:val="22"/>
        </w:rPr>
        <w:tab/>
        <w:t>Inaugural Excellence in Basic Research Award, School of Medicine, Stony Brook University</w:t>
      </w:r>
    </w:p>
    <w:p w14:paraId="69B63B80" w14:textId="77777777" w:rsidR="00E501A4" w:rsidRPr="006B5751" w:rsidRDefault="00E501A4" w:rsidP="00E501A4">
      <w:pPr>
        <w:ind w:right="-540"/>
        <w:rPr>
          <w:rFonts w:cs="Arial"/>
          <w:szCs w:val="22"/>
        </w:rPr>
      </w:pPr>
      <w:r w:rsidRPr="006B5751">
        <w:rPr>
          <w:rFonts w:cs="Arial"/>
          <w:szCs w:val="22"/>
        </w:rPr>
        <w:t>2012</w:t>
      </w:r>
      <w:r w:rsidRPr="006B5751">
        <w:rPr>
          <w:rFonts w:cs="Arial"/>
          <w:szCs w:val="22"/>
        </w:rPr>
        <w:tab/>
      </w:r>
      <w:r w:rsidRPr="006B5751">
        <w:rPr>
          <w:rFonts w:cs="Arial"/>
          <w:szCs w:val="22"/>
        </w:rPr>
        <w:tab/>
      </w:r>
      <w:r w:rsidRPr="006B5751">
        <w:rPr>
          <w:rFonts w:cs="Arial"/>
          <w:szCs w:val="22"/>
        </w:rPr>
        <w:tab/>
        <w:t>Fusion Award, Stony Brook Foundation</w:t>
      </w:r>
    </w:p>
    <w:p w14:paraId="0FCE53DA" w14:textId="77777777" w:rsidR="00E501A4" w:rsidRPr="006B5751" w:rsidRDefault="00E501A4" w:rsidP="00E501A4">
      <w:pPr>
        <w:ind w:right="-540"/>
        <w:rPr>
          <w:rFonts w:cs="Arial"/>
          <w:szCs w:val="22"/>
        </w:rPr>
      </w:pPr>
      <w:r w:rsidRPr="006B5751">
        <w:rPr>
          <w:rFonts w:cs="Arial"/>
          <w:szCs w:val="22"/>
        </w:rPr>
        <w:t>2011</w:t>
      </w:r>
      <w:r w:rsidRPr="006B5751">
        <w:rPr>
          <w:rFonts w:cs="Arial"/>
          <w:szCs w:val="22"/>
        </w:rPr>
        <w:tab/>
      </w:r>
      <w:r w:rsidRPr="006B5751">
        <w:rPr>
          <w:rFonts w:cs="Arial"/>
          <w:szCs w:val="22"/>
        </w:rPr>
        <w:tab/>
      </w:r>
      <w:r w:rsidRPr="006B5751">
        <w:rPr>
          <w:rFonts w:cs="Arial"/>
          <w:szCs w:val="22"/>
        </w:rPr>
        <w:tab/>
        <w:t>Baldwin Award for Cancer Research, Stony Brook University</w:t>
      </w:r>
    </w:p>
    <w:p w14:paraId="7DD907AE" w14:textId="77777777" w:rsidR="00E501A4" w:rsidRPr="006B5751" w:rsidRDefault="00E501A4" w:rsidP="00E501A4">
      <w:pPr>
        <w:ind w:right="-540"/>
        <w:rPr>
          <w:rFonts w:cs="Arial"/>
          <w:szCs w:val="22"/>
        </w:rPr>
      </w:pPr>
      <w:r w:rsidRPr="006B5751">
        <w:rPr>
          <w:rFonts w:cs="Arial"/>
          <w:szCs w:val="22"/>
        </w:rPr>
        <w:t>2006</w:t>
      </w:r>
      <w:r w:rsidRPr="006B5751">
        <w:rPr>
          <w:rFonts w:cs="Arial"/>
          <w:szCs w:val="22"/>
        </w:rPr>
        <w:tab/>
      </w:r>
      <w:r w:rsidRPr="006B5751">
        <w:rPr>
          <w:rFonts w:cs="Arial"/>
          <w:szCs w:val="22"/>
        </w:rPr>
        <w:tab/>
      </w:r>
      <w:r w:rsidRPr="006B5751">
        <w:rPr>
          <w:rFonts w:cs="Arial"/>
          <w:szCs w:val="22"/>
        </w:rPr>
        <w:tab/>
        <w:t>Baldwin Award for Cancer Research, Stony Brook University</w:t>
      </w:r>
    </w:p>
    <w:p w14:paraId="675230E6" w14:textId="77777777" w:rsidR="00E501A4" w:rsidRPr="006B5751" w:rsidRDefault="00E501A4" w:rsidP="00E501A4">
      <w:pPr>
        <w:ind w:right="-540"/>
        <w:rPr>
          <w:rFonts w:cs="Arial"/>
          <w:szCs w:val="22"/>
        </w:rPr>
      </w:pPr>
      <w:r w:rsidRPr="006B5751">
        <w:rPr>
          <w:rFonts w:cs="Arial"/>
          <w:szCs w:val="22"/>
        </w:rPr>
        <w:t>2001</w:t>
      </w:r>
      <w:r w:rsidRPr="006B5751">
        <w:rPr>
          <w:rFonts w:cs="Arial"/>
          <w:szCs w:val="22"/>
        </w:rPr>
        <w:tab/>
      </w:r>
      <w:r w:rsidRPr="006B5751">
        <w:rPr>
          <w:rFonts w:cs="Arial"/>
          <w:szCs w:val="22"/>
        </w:rPr>
        <w:tab/>
      </w:r>
      <w:r w:rsidRPr="006B5751">
        <w:rPr>
          <w:rFonts w:cs="Arial"/>
          <w:szCs w:val="22"/>
        </w:rPr>
        <w:tab/>
        <w:t>Research Productivity Award, School of Medicine, Stony Brook University</w:t>
      </w:r>
    </w:p>
    <w:p w14:paraId="049B407D" w14:textId="77777777" w:rsidR="00E501A4" w:rsidRPr="006B5751" w:rsidRDefault="00E501A4" w:rsidP="00E501A4">
      <w:pPr>
        <w:ind w:right="-540"/>
        <w:rPr>
          <w:rFonts w:cs="Arial"/>
          <w:szCs w:val="22"/>
        </w:rPr>
      </w:pPr>
      <w:r w:rsidRPr="006B5751">
        <w:rPr>
          <w:rFonts w:cs="Arial"/>
          <w:szCs w:val="22"/>
        </w:rPr>
        <w:t xml:space="preserve">2000 - 2002 </w:t>
      </w:r>
      <w:r w:rsidRPr="006B5751">
        <w:rPr>
          <w:rFonts w:cs="Arial"/>
          <w:szCs w:val="22"/>
        </w:rPr>
        <w:tab/>
        <w:t>Baldwin Award for Breast Cancer Research, Stony Brook University</w:t>
      </w:r>
    </w:p>
    <w:p w14:paraId="07922C3C" w14:textId="553DFD22" w:rsidR="00BD5D90" w:rsidRPr="006B5751" w:rsidRDefault="00BD5D90" w:rsidP="00BD5D90">
      <w:pPr>
        <w:ind w:right="-540"/>
        <w:rPr>
          <w:rFonts w:cs="Arial"/>
          <w:szCs w:val="22"/>
        </w:rPr>
      </w:pPr>
      <w:r w:rsidRPr="006B5751">
        <w:rPr>
          <w:rFonts w:cs="Arial"/>
          <w:szCs w:val="22"/>
        </w:rPr>
        <w:t xml:space="preserve">1997 - 2000 </w:t>
      </w:r>
      <w:r w:rsidRPr="006B5751">
        <w:rPr>
          <w:rFonts w:cs="Arial"/>
          <w:szCs w:val="22"/>
        </w:rPr>
        <w:tab/>
        <w:t>Lilly Wehrli Ammann Award in Breast Cancer Research</w:t>
      </w:r>
    </w:p>
    <w:p w14:paraId="4E6033BE" w14:textId="77777777" w:rsidR="002C51BC" w:rsidRPr="00A128A0" w:rsidRDefault="002C51BC" w:rsidP="002C51BC">
      <w:pPr>
        <w:pStyle w:val="DataField11pt-Single"/>
        <w:rPr>
          <w:rStyle w:val="Strong"/>
        </w:rPr>
      </w:pPr>
    </w:p>
    <w:p w14:paraId="74099D79" w14:textId="41A7F080" w:rsidR="00BD5D90" w:rsidRDefault="002C51BC" w:rsidP="00BD5D90">
      <w:pPr>
        <w:ind w:left="142" w:right="27"/>
        <w:rPr>
          <w:rFonts w:cs="Arial"/>
          <w:b/>
          <w:szCs w:val="22"/>
        </w:rPr>
      </w:pPr>
      <w:r w:rsidRPr="00A128A0">
        <w:rPr>
          <w:rStyle w:val="Strong"/>
        </w:rPr>
        <w:t>C.</w:t>
      </w:r>
      <w:r w:rsidRPr="00A128A0">
        <w:rPr>
          <w:rStyle w:val="Strong"/>
        </w:rPr>
        <w:tab/>
        <w:t>Contributions to Science</w:t>
      </w:r>
      <w:r w:rsidR="00FE10AD">
        <w:rPr>
          <w:rStyle w:val="Strong"/>
        </w:rPr>
        <w:br/>
      </w:r>
    </w:p>
    <w:p w14:paraId="02689664" w14:textId="05B7B78F" w:rsidR="00BD5D90" w:rsidRDefault="00BD5D90" w:rsidP="00BD5D90">
      <w:pPr>
        <w:ind w:left="142" w:right="27"/>
        <w:rPr>
          <w:rFonts w:cs="Arial"/>
          <w:szCs w:val="22"/>
        </w:rPr>
      </w:pPr>
      <w:r>
        <w:rPr>
          <w:rFonts w:cs="Arial"/>
          <w:b/>
          <w:szCs w:val="22"/>
        </w:rPr>
        <w:t xml:space="preserve">1. </w:t>
      </w:r>
      <w:r w:rsidRPr="00703B42">
        <w:rPr>
          <w:rFonts w:cs="Arial"/>
          <w:b/>
          <w:szCs w:val="22"/>
        </w:rPr>
        <w:t>Gain-of-function (GOF) of mutant p53 in cancer</w:t>
      </w:r>
      <w:r>
        <w:rPr>
          <w:rFonts w:cs="Arial"/>
          <w:szCs w:val="22"/>
        </w:rPr>
        <w:t xml:space="preserve"> </w:t>
      </w:r>
    </w:p>
    <w:p w14:paraId="015E3ED1" w14:textId="77777777" w:rsidR="00BD5D90" w:rsidRPr="006B5751" w:rsidRDefault="00BD5D90" w:rsidP="00BD5D90">
      <w:pPr>
        <w:ind w:left="142" w:right="27"/>
        <w:jc w:val="both"/>
        <w:rPr>
          <w:rFonts w:cs="Arial"/>
          <w:szCs w:val="22"/>
        </w:rPr>
      </w:pPr>
      <w:r w:rsidRPr="006B5751">
        <w:rPr>
          <w:rFonts w:cs="Arial"/>
          <w:szCs w:val="22"/>
        </w:rPr>
        <w:t xml:space="preserve">I made seminal contributions to </w:t>
      </w:r>
      <w:r>
        <w:rPr>
          <w:rFonts w:cs="Arial"/>
          <w:szCs w:val="22"/>
        </w:rPr>
        <w:t>this field and m</w:t>
      </w:r>
      <w:r w:rsidRPr="006B5751">
        <w:rPr>
          <w:rFonts w:cs="Arial"/>
          <w:szCs w:val="22"/>
        </w:rPr>
        <w:t xml:space="preserve">y work here has a strong translational focus. The p53 gene is mutated in over 50% of human cancers. In sharp contrast to other tumor suppressors, over 75% of p53 mutations are missense amino acid substitutions, particularly 6 hotspot mutations, causing </w:t>
      </w:r>
      <w:r w:rsidRPr="006B5751">
        <w:rPr>
          <w:rFonts w:cs="Arial"/>
          <w:i/>
          <w:szCs w:val="22"/>
        </w:rPr>
        <w:t>tumor-specific</w:t>
      </w:r>
      <w:r w:rsidRPr="006B5751">
        <w:rPr>
          <w:rFonts w:cs="Arial"/>
          <w:szCs w:val="22"/>
        </w:rPr>
        <w:t xml:space="preserve"> </w:t>
      </w:r>
      <w:r w:rsidRPr="006B5751">
        <w:rPr>
          <w:rFonts w:cs="Arial"/>
          <w:szCs w:val="22"/>
        </w:rPr>
        <w:lastRenderedPageBreak/>
        <w:t>aberrant stabilization of full-length mutant p53 proteins.</w:t>
      </w:r>
      <w:r>
        <w:rPr>
          <w:rFonts w:cs="Arial"/>
          <w:szCs w:val="22"/>
        </w:rPr>
        <w:t xml:space="preserve"> </w:t>
      </w:r>
      <w:r w:rsidRPr="006B5751">
        <w:rPr>
          <w:rFonts w:cs="Arial"/>
          <w:szCs w:val="22"/>
        </w:rPr>
        <w:t xml:space="preserve">This high prevalence of stabilized missense mutants suggests a </w:t>
      </w:r>
      <w:r>
        <w:rPr>
          <w:rFonts w:cs="Arial"/>
          <w:szCs w:val="22"/>
        </w:rPr>
        <w:t>mutp53 GOF</w:t>
      </w:r>
      <w:r w:rsidRPr="006B5751">
        <w:rPr>
          <w:rFonts w:cs="Arial"/>
          <w:szCs w:val="22"/>
        </w:rPr>
        <w:t xml:space="preserve"> that promotes cancer.</w:t>
      </w:r>
    </w:p>
    <w:p w14:paraId="179C8C28" w14:textId="77777777" w:rsidR="00BD5D90" w:rsidRPr="00E0167B" w:rsidRDefault="00BD5D90" w:rsidP="00BD5D90">
      <w:pPr>
        <w:ind w:left="426" w:right="27"/>
        <w:jc w:val="both"/>
        <w:rPr>
          <w:rFonts w:cs="Arial"/>
          <w:sz w:val="6"/>
          <w:szCs w:val="6"/>
        </w:rPr>
      </w:pPr>
    </w:p>
    <w:p w14:paraId="6BB995CB" w14:textId="77777777" w:rsidR="00BD5D90" w:rsidRPr="006B5751" w:rsidRDefault="00BD5D90" w:rsidP="00BD5D90">
      <w:pPr>
        <w:numPr>
          <w:ilvl w:val="0"/>
          <w:numId w:val="27"/>
        </w:numPr>
        <w:ind w:right="27"/>
        <w:jc w:val="both"/>
        <w:rPr>
          <w:rFonts w:cs="Arial"/>
          <w:szCs w:val="22"/>
        </w:rPr>
      </w:pPr>
      <w:r w:rsidRPr="006B5751">
        <w:rPr>
          <w:rFonts w:cs="Arial"/>
          <w:szCs w:val="22"/>
        </w:rPr>
        <w:t xml:space="preserve">My lab generated </w:t>
      </w:r>
      <w:r w:rsidRPr="006B5751">
        <w:rPr>
          <w:rFonts w:cs="Arial"/>
          <w:i/>
          <w:szCs w:val="22"/>
        </w:rPr>
        <w:t>the first</w:t>
      </w:r>
      <w:r w:rsidRPr="006B5751">
        <w:rPr>
          <w:rFonts w:cs="Arial"/>
          <w:szCs w:val="22"/>
        </w:rPr>
        <w:t xml:space="preserve"> mutp53 knockin mouse (modeling the hotspot mutation R248Q, the most frequent p53 mutation in human cancer) that </w:t>
      </w:r>
      <w:r w:rsidRPr="006B5751">
        <w:rPr>
          <w:rFonts w:cs="Arial"/>
          <w:i/>
          <w:szCs w:val="22"/>
        </w:rPr>
        <w:t>unequivocally</w:t>
      </w:r>
      <w:r w:rsidRPr="006B5751">
        <w:rPr>
          <w:rFonts w:cs="Arial"/>
          <w:szCs w:val="22"/>
        </w:rPr>
        <w:t xml:space="preserve"> proved the existence of p53 GOF. Compared with </w:t>
      </w:r>
      <w:r w:rsidRPr="006B5751">
        <w:rPr>
          <w:rFonts w:cs="Arial"/>
          <w:bCs/>
          <w:szCs w:val="22"/>
        </w:rPr>
        <w:t>p53</w:t>
      </w:r>
      <w:r w:rsidRPr="006B5751">
        <w:rPr>
          <w:rFonts w:cs="Arial"/>
          <w:szCs w:val="22"/>
        </w:rPr>
        <w:t xml:space="preserve">-null mice, </w:t>
      </w:r>
      <w:r w:rsidRPr="006B5751">
        <w:rPr>
          <w:rFonts w:cs="Arial"/>
          <w:bCs/>
          <w:szCs w:val="22"/>
        </w:rPr>
        <w:t>R248Q</w:t>
      </w:r>
      <w:r w:rsidRPr="006B5751">
        <w:rPr>
          <w:rFonts w:cs="Arial"/>
          <w:szCs w:val="22"/>
        </w:rPr>
        <w:t xml:space="preserve">/− (and </w:t>
      </w:r>
      <w:r w:rsidRPr="006B5751">
        <w:rPr>
          <w:rFonts w:cs="Arial"/>
          <w:bCs/>
          <w:szCs w:val="22"/>
        </w:rPr>
        <w:t>R248Q</w:t>
      </w:r>
      <w:r w:rsidRPr="006B5751">
        <w:rPr>
          <w:rFonts w:cs="Arial"/>
          <w:szCs w:val="22"/>
        </w:rPr>
        <w:t xml:space="preserve">/R248Q) mice have accelerated onset of all tumor types and a shorter survival. This not only put to rest the controversy whether the phenomenon exists, but also opened the door to exploit this tumor-specific phenotype therapeutically. </w:t>
      </w:r>
    </w:p>
    <w:p w14:paraId="49B46D76" w14:textId="77777777" w:rsidR="00BD5D90" w:rsidRPr="00E0167B" w:rsidRDefault="00BD5D90" w:rsidP="00BD5D90">
      <w:pPr>
        <w:ind w:left="426" w:right="27"/>
        <w:jc w:val="both"/>
        <w:rPr>
          <w:rFonts w:cs="Arial"/>
          <w:sz w:val="6"/>
          <w:szCs w:val="6"/>
        </w:rPr>
      </w:pPr>
    </w:p>
    <w:p w14:paraId="29D81652" w14:textId="77777777" w:rsidR="00BD5D90" w:rsidRPr="006B5751" w:rsidRDefault="00BD5D90" w:rsidP="00BD5D90">
      <w:pPr>
        <w:numPr>
          <w:ilvl w:val="0"/>
          <w:numId w:val="27"/>
        </w:numPr>
        <w:ind w:right="27"/>
        <w:jc w:val="both"/>
        <w:rPr>
          <w:rFonts w:cs="Arial"/>
          <w:szCs w:val="22"/>
        </w:rPr>
      </w:pPr>
      <w:r w:rsidRPr="006B5751">
        <w:rPr>
          <w:rFonts w:cs="Arial"/>
          <w:szCs w:val="22"/>
        </w:rPr>
        <w:t xml:space="preserve">We then showed that a major mechanism of aberrant stabilization of mutp53 in human cancer cells is functional inactivation of endogenous MDM2 and CHIP (E3 ubiquitin ligases for p53) by the HSP90 chaperone system. This provided a firm foundation to test the therapeutic translatability of HSP90 inhibitors to treat mutp53 cancers. </w:t>
      </w:r>
    </w:p>
    <w:p w14:paraId="61DD0215" w14:textId="77777777" w:rsidR="00BD5D90" w:rsidRPr="00E0167B" w:rsidRDefault="00BD5D90" w:rsidP="00BD5D90">
      <w:pPr>
        <w:ind w:left="786" w:right="27"/>
        <w:jc w:val="both"/>
        <w:rPr>
          <w:rFonts w:cs="Arial"/>
          <w:sz w:val="6"/>
          <w:szCs w:val="6"/>
        </w:rPr>
      </w:pPr>
    </w:p>
    <w:p w14:paraId="76A5C59A" w14:textId="77777777" w:rsidR="00BD5D90" w:rsidRPr="006B5751" w:rsidRDefault="00BD5D90" w:rsidP="00BD5D90">
      <w:pPr>
        <w:numPr>
          <w:ilvl w:val="0"/>
          <w:numId w:val="27"/>
        </w:numPr>
        <w:ind w:right="27"/>
        <w:jc w:val="both"/>
        <w:rPr>
          <w:rFonts w:cs="Arial"/>
          <w:szCs w:val="22"/>
        </w:rPr>
      </w:pPr>
      <w:r w:rsidRPr="006B5751">
        <w:rPr>
          <w:rFonts w:cs="Arial"/>
          <w:szCs w:val="22"/>
        </w:rPr>
        <w:t xml:space="preserve">Although currently 11 million patients worldwide live with tumours expressing highly stabilized mutp53, it is unknown whether mutp53 is a therapeutic target in vivo. Here we generated a novel mutp53 mouse model expressing an inactivatable R248Q hotspot mutation (floxQ) to show that tumours </w:t>
      </w:r>
      <w:r w:rsidRPr="006B5751">
        <w:rPr>
          <w:rFonts w:cs="Arial"/>
          <w:i/>
          <w:szCs w:val="22"/>
        </w:rPr>
        <w:t>depend</w:t>
      </w:r>
      <w:r w:rsidRPr="006B5751">
        <w:rPr>
          <w:rFonts w:cs="Arial"/>
          <w:szCs w:val="22"/>
        </w:rPr>
        <w:t xml:space="preserve"> on sustained mutp53 expression. We also showed that long-term HSP90 inhibition significantly extends the survival of mutp53 Q/- (R248Q allele) and H/H (R172H allele) mice by 59% and 48%, respectively, but not their corresponding p53-/- littermates. These proof-of-principle data for the first time identify mutp53 as an actionable cancer-specific drug target.</w:t>
      </w:r>
    </w:p>
    <w:p w14:paraId="509AAD50" w14:textId="77777777" w:rsidR="00BD5D90" w:rsidRPr="00E0167B" w:rsidRDefault="00BD5D90" w:rsidP="00BD5D90">
      <w:pPr>
        <w:ind w:left="786" w:right="27"/>
        <w:jc w:val="both"/>
        <w:rPr>
          <w:rFonts w:cs="Arial"/>
          <w:sz w:val="6"/>
          <w:szCs w:val="6"/>
        </w:rPr>
      </w:pPr>
    </w:p>
    <w:p w14:paraId="58F7C661" w14:textId="77777777" w:rsidR="00BD5D90" w:rsidRPr="006B5751" w:rsidRDefault="00BD5D90" w:rsidP="00BD5D90">
      <w:pPr>
        <w:tabs>
          <w:tab w:val="left" w:pos="1239"/>
        </w:tabs>
        <w:ind w:left="426" w:right="27"/>
        <w:jc w:val="both"/>
        <w:rPr>
          <w:rFonts w:cs="Arial"/>
          <w:sz w:val="4"/>
          <w:szCs w:val="4"/>
        </w:rPr>
      </w:pPr>
      <w:r w:rsidRPr="006B5751">
        <w:rPr>
          <w:rFonts w:cs="Arial"/>
          <w:szCs w:val="22"/>
        </w:rPr>
        <w:tab/>
      </w:r>
    </w:p>
    <w:p w14:paraId="34825BCB" w14:textId="1D2F9F56" w:rsidR="00BD5D90" w:rsidRPr="006B5751" w:rsidRDefault="00BD5D90" w:rsidP="00BD5D90">
      <w:pPr>
        <w:numPr>
          <w:ilvl w:val="0"/>
          <w:numId w:val="22"/>
        </w:numPr>
        <w:ind w:right="27"/>
        <w:jc w:val="both"/>
        <w:rPr>
          <w:rFonts w:cs="Arial"/>
          <w:szCs w:val="22"/>
        </w:rPr>
      </w:pPr>
      <w:r w:rsidRPr="006B5751">
        <w:rPr>
          <w:rFonts w:cs="Arial"/>
          <w:szCs w:val="22"/>
          <w:lang w:val="de-DE"/>
        </w:rPr>
        <w:t xml:space="preserve">Li D, Marchenko, ND Fischer V, Velasco-Hernandez T, Talos F, </w:t>
      </w:r>
      <w:r w:rsidRPr="006B5751">
        <w:rPr>
          <w:rFonts w:cs="Arial"/>
          <w:b/>
          <w:szCs w:val="22"/>
          <w:lang w:val="de-DE"/>
        </w:rPr>
        <w:t>Moll UM</w:t>
      </w:r>
      <w:r w:rsidRPr="006B5751">
        <w:rPr>
          <w:rFonts w:cs="Arial"/>
          <w:szCs w:val="22"/>
          <w:lang w:val="de-DE"/>
        </w:rPr>
        <w:t xml:space="preserve"> (2011). </w:t>
      </w:r>
      <w:r w:rsidRPr="00E501A4">
        <w:rPr>
          <w:rFonts w:cs="Arial"/>
          <w:szCs w:val="22"/>
        </w:rPr>
        <w:t>Functional inactivation of endogenous MDM2 and CHIP by HSP90 causes aberrant stabilization of mutant p53 in human cancer cells</w:t>
      </w:r>
      <w:r w:rsidRPr="006B5751">
        <w:rPr>
          <w:rFonts w:cs="Arial"/>
          <w:szCs w:val="22"/>
        </w:rPr>
        <w:t xml:space="preserve">. </w:t>
      </w:r>
      <w:r w:rsidRPr="006B5751">
        <w:rPr>
          <w:rFonts w:cs="Arial"/>
          <w:b/>
          <w:i/>
          <w:szCs w:val="22"/>
        </w:rPr>
        <w:t>Mol Cancer Res</w:t>
      </w:r>
      <w:r w:rsidRPr="006B5751">
        <w:rPr>
          <w:rFonts w:cs="Arial"/>
          <w:szCs w:val="22"/>
        </w:rPr>
        <w:t xml:space="preserve">, 9(5):577-88. Highlighted in “This Week in </w:t>
      </w:r>
      <w:r w:rsidRPr="006B5751">
        <w:rPr>
          <w:rFonts w:cs="Arial"/>
          <w:i/>
          <w:szCs w:val="22"/>
        </w:rPr>
        <w:t>Mol Cancer Res”</w:t>
      </w:r>
    </w:p>
    <w:p w14:paraId="08084B73" w14:textId="77777777" w:rsidR="00BD5D90" w:rsidRPr="006B5751" w:rsidRDefault="00BD5D90" w:rsidP="00BD5D90">
      <w:pPr>
        <w:ind w:right="27"/>
        <w:jc w:val="both"/>
        <w:rPr>
          <w:rFonts w:cs="Arial"/>
          <w:sz w:val="6"/>
          <w:szCs w:val="6"/>
        </w:rPr>
      </w:pPr>
    </w:p>
    <w:p w14:paraId="41431FF1" w14:textId="7587021B" w:rsidR="00BD5D90" w:rsidRPr="006B5751" w:rsidRDefault="00BD5D90" w:rsidP="00BD5D90">
      <w:pPr>
        <w:numPr>
          <w:ilvl w:val="0"/>
          <w:numId w:val="22"/>
        </w:numPr>
        <w:ind w:right="27"/>
        <w:jc w:val="both"/>
        <w:rPr>
          <w:rFonts w:cs="Arial"/>
          <w:szCs w:val="22"/>
        </w:rPr>
      </w:pPr>
      <w:r w:rsidRPr="006B5751">
        <w:rPr>
          <w:rFonts w:cs="Arial"/>
          <w:szCs w:val="22"/>
        </w:rPr>
        <w:t xml:space="preserve">Dobbelstein M, </w:t>
      </w:r>
      <w:r w:rsidRPr="006B5751">
        <w:rPr>
          <w:rFonts w:cs="Arial"/>
          <w:b/>
          <w:szCs w:val="22"/>
        </w:rPr>
        <w:t xml:space="preserve">Moll UM </w:t>
      </w:r>
      <w:r w:rsidRPr="006B5751">
        <w:rPr>
          <w:rFonts w:cs="Arial"/>
          <w:szCs w:val="22"/>
        </w:rPr>
        <w:t xml:space="preserve">(2014). </w:t>
      </w:r>
      <w:r w:rsidRPr="00E501A4">
        <w:rPr>
          <w:rFonts w:cs="Arial"/>
          <w:szCs w:val="22"/>
        </w:rPr>
        <w:t>Targeting tumour-supportive cellular machineries in anticancer drug development.</w:t>
      </w:r>
      <w:r w:rsidRPr="006B5751">
        <w:rPr>
          <w:rFonts w:cs="Arial"/>
          <w:szCs w:val="22"/>
        </w:rPr>
        <w:t xml:space="preserve"> </w:t>
      </w:r>
      <w:r w:rsidRPr="006B5751">
        <w:rPr>
          <w:rFonts w:cs="Arial"/>
          <w:b/>
          <w:i/>
          <w:szCs w:val="22"/>
        </w:rPr>
        <w:t>Nat Rev Drug Discov</w:t>
      </w:r>
      <w:r w:rsidRPr="006B5751">
        <w:rPr>
          <w:rFonts w:cs="Arial"/>
          <w:b/>
          <w:szCs w:val="22"/>
        </w:rPr>
        <w:t>.</w:t>
      </w:r>
      <w:r w:rsidRPr="006B5751">
        <w:rPr>
          <w:rFonts w:cs="Arial"/>
          <w:szCs w:val="22"/>
        </w:rPr>
        <w:t xml:space="preserve"> 13(3):179-96. </w:t>
      </w:r>
    </w:p>
    <w:p w14:paraId="472D3DFC" w14:textId="77777777" w:rsidR="00BD5D90" w:rsidRPr="006B5751" w:rsidRDefault="00BD5D90" w:rsidP="00BD5D90">
      <w:pPr>
        <w:ind w:right="27"/>
        <w:jc w:val="both"/>
        <w:rPr>
          <w:rFonts w:cs="Arial"/>
          <w:sz w:val="6"/>
          <w:szCs w:val="6"/>
        </w:rPr>
      </w:pPr>
    </w:p>
    <w:p w14:paraId="2DAFD9CB" w14:textId="66E3710B" w:rsidR="00BD5D90" w:rsidRPr="007D328B" w:rsidRDefault="00BD5D90" w:rsidP="00BD5D90">
      <w:pPr>
        <w:numPr>
          <w:ilvl w:val="0"/>
          <w:numId w:val="22"/>
        </w:numPr>
        <w:rPr>
          <w:rFonts w:cs="Arial"/>
          <w:bCs/>
          <w:szCs w:val="22"/>
        </w:rPr>
      </w:pPr>
      <w:r w:rsidRPr="006B5751">
        <w:rPr>
          <w:rFonts w:cs="Arial"/>
          <w:szCs w:val="22"/>
          <w:lang w:val="de-DE"/>
        </w:rPr>
        <w:t xml:space="preserve">Alexandrova EM, Yallowitz AR, Lozano G, Dobbelstein M, </w:t>
      </w:r>
      <w:r w:rsidRPr="006B5751">
        <w:rPr>
          <w:rFonts w:cs="Arial"/>
          <w:b/>
          <w:szCs w:val="22"/>
          <w:lang w:val="de-DE"/>
        </w:rPr>
        <w:t>Moll UM</w:t>
      </w:r>
      <w:r w:rsidRPr="006B5751">
        <w:rPr>
          <w:rFonts w:cs="Arial"/>
          <w:szCs w:val="22"/>
          <w:lang w:val="de-DE"/>
        </w:rPr>
        <w:t xml:space="preserve"> (2015). </w:t>
      </w:r>
      <w:r w:rsidRPr="00E501A4">
        <w:rPr>
          <w:rFonts w:cs="Arial"/>
          <w:szCs w:val="22"/>
        </w:rPr>
        <w:t>Improving survival by exploiting tumor dependence on stabilized mutant p53 for treatment</w:t>
      </w:r>
      <w:r w:rsidRPr="006B5751">
        <w:rPr>
          <w:rFonts w:cs="Arial"/>
          <w:szCs w:val="22"/>
        </w:rPr>
        <w:t xml:space="preserve">. </w:t>
      </w:r>
      <w:r w:rsidRPr="006B5751">
        <w:rPr>
          <w:rFonts w:cs="Arial"/>
          <w:b/>
          <w:i/>
          <w:szCs w:val="22"/>
        </w:rPr>
        <w:t>Nature</w:t>
      </w:r>
      <w:r w:rsidRPr="006B5751">
        <w:rPr>
          <w:rFonts w:cs="Arial"/>
          <w:szCs w:val="22"/>
        </w:rPr>
        <w:t xml:space="preserve">, 523(7560):352-6. </w:t>
      </w:r>
      <w:r w:rsidRPr="002D76A2">
        <w:rPr>
          <w:rFonts w:cs="Arial"/>
          <w:bCs/>
          <w:color w:val="0432FF"/>
          <w:szCs w:val="22"/>
        </w:rPr>
        <w:t xml:space="preserve">Featured in Research Watch doi: 10.1158/2159-8290.CD-RW2015-105 </w:t>
      </w:r>
      <w:r w:rsidRPr="002D76A2">
        <w:rPr>
          <w:rFonts w:cs="Arial"/>
          <w:b/>
          <w:bCs/>
          <w:i/>
          <w:color w:val="0432FF"/>
          <w:szCs w:val="22"/>
        </w:rPr>
        <w:t>Cancer Discovery</w:t>
      </w:r>
      <w:r w:rsidRPr="002D76A2">
        <w:rPr>
          <w:rFonts w:cs="Arial"/>
          <w:bCs/>
          <w:color w:val="0432FF"/>
          <w:szCs w:val="22"/>
        </w:rPr>
        <w:t xml:space="preserve"> June 04, 2015</w:t>
      </w:r>
    </w:p>
    <w:p w14:paraId="4E431424" w14:textId="3E749B72" w:rsidR="00BD5D90" w:rsidRPr="00147B33" w:rsidRDefault="00BD5D90" w:rsidP="00BD5D90">
      <w:pPr>
        <w:numPr>
          <w:ilvl w:val="0"/>
          <w:numId w:val="22"/>
        </w:numPr>
        <w:rPr>
          <w:rFonts w:cs="Arial"/>
          <w:bCs/>
          <w:szCs w:val="22"/>
        </w:rPr>
      </w:pPr>
      <w:r>
        <w:rPr>
          <w:rFonts w:cs="Arial"/>
          <w:bCs/>
          <w:szCs w:val="22"/>
        </w:rPr>
        <w:t>Schulz-Heddergott R,</w:t>
      </w:r>
      <w:r w:rsidRPr="003E7D39">
        <w:rPr>
          <w:rFonts w:cs="Arial"/>
          <w:bCs/>
          <w:szCs w:val="22"/>
        </w:rPr>
        <w:t xml:space="preserve"> Stark </w:t>
      </w:r>
      <w:r>
        <w:rPr>
          <w:rFonts w:cs="Arial"/>
          <w:bCs/>
          <w:szCs w:val="22"/>
        </w:rPr>
        <w:t>N</w:t>
      </w:r>
      <w:r w:rsidRPr="003E7D39">
        <w:rPr>
          <w:rFonts w:cs="Arial"/>
          <w:bCs/>
          <w:szCs w:val="22"/>
        </w:rPr>
        <w:t xml:space="preserve">, Edmunds </w:t>
      </w:r>
      <w:r>
        <w:rPr>
          <w:rFonts w:cs="Arial"/>
          <w:bCs/>
          <w:szCs w:val="22"/>
        </w:rPr>
        <w:t>SH</w:t>
      </w:r>
      <w:r w:rsidRPr="003E7D39">
        <w:rPr>
          <w:rFonts w:cs="Arial"/>
          <w:bCs/>
          <w:szCs w:val="22"/>
        </w:rPr>
        <w:t xml:space="preserve">, Li </w:t>
      </w:r>
      <w:r>
        <w:rPr>
          <w:rFonts w:cs="Arial"/>
          <w:bCs/>
          <w:szCs w:val="22"/>
        </w:rPr>
        <w:t>J</w:t>
      </w:r>
      <w:r w:rsidRPr="003E7D39">
        <w:rPr>
          <w:rFonts w:cs="Arial"/>
          <w:bCs/>
          <w:szCs w:val="22"/>
        </w:rPr>
        <w:t xml:space="preserve">, Conradi </w:t>
      </w:r>
      <w:r>
        <w:rPr>
          <w:rFonts w:cs="Arial"/>
          <w:bCs/>
          <w:szCs w:val="22"/>
        </w:rPr>
        <w:t>LC</w:t>
      </w:r>
      <w:r w:rsidRPr="003E7D39">
        <w:rPr>
          <w:rFonts w:cs="Arial"/>
          <w:bCs/>
          <w:szCs w:val="22"/>
        </w:rPr>
        <w:t xml:space="preserve">, Bohnenberger </w:t>
      </w:r>
      <w:r>
        <w:rPr>
          <w:rFonts w:cs="Arial"/>
          <w:bCs/>
          <w:szCs w:val="22"/>
        </w:rPr>
        <w:t>H</w:t>
      </w:r>
      <w:r w:rsidRPr="003E7D39">
        <w:rPr>
          <w:rFonts w:cs="Arial"/>
          <w:bCs/>
          <w:szCs w:val="22"/>
        </w:rPr>
        <w:t xml:space="preserve">, Ceteci </w:t>
      </w:r>
      <w:r>
        <w:rPr>
          <w:rFonts w:cs="Arial"/>
          <w:bCs/>
          <w:szCs w:val="22"/>
        </w:rPr>
        <w:t>F</w:t>
      </w:r>
      <w:r w:rsidRPr="003E7D39">
        <w:rPr>
          <w:rFonts w:cs="Arial"/>
          <w:bCs/>
          <w:szCs w:val="22"/>
        </w:rPr>
        <w:t xml:space="preserve">, Greten </w:t>
      </w:r>
      <w:r>
        <w:rPr>
          <w:rFonts w:cs="Arial"/>
          <w:bCs/>
          <w:szCs w:val="22"/>
        </w:rPr>
        <w:t>FR</w:t>
      </w:r>
      <w:r w:rsidRPr="003E7D39">
        <w:rPr>
          <w:rFonts w:cs="Arial"/>
          <w:bCs/>
          <w:szCs w:val="22"/>
        </w:rPr>
        <w:t xml:space="preserve">, Dobbelstein </w:t>
      </w:r>
      <w:r>
        <w:rPr>
          <w:rFonts w:cs="Arial"/>
          <w:bCs/>
          <w:szCs w:val="22"/>
        </w:rPr>
        <w:t>M</w:t>
      </w:r>
      <w:r w:rsidRPr="003E7D39">
        <w:rPr>
          <w:rFonts w:cs="Arial"/>
          <w:bCs/>
          <w:szCs w:val="22"/>
        </w:rPr>
        <w:t xml:space="preserve">, </w:t>
      </w:r>
      <w:r w:rsidRPr="003E7D39">
        <w:rPr>
          <w:rFonts w:cs="Arial"/>
          <w:b/>
          <w:bCs/>
          <w:szCs w:val="22"/>
        </w:rPr>
        <w:t>Moll UM</w:t>
      </w:r>
      <w:r w:rsidRPr="003E7D39">
        <w:rPr>
          <w:rFonts w:cs="Arial"/>
          <w:bCs/>
          <w:szCs w:val="22"/>
        </w:rPr>
        <w:t xml:space="preserve"> (2018). Therapeutic ablation of gain-of-function mutant p53 in colorectal cancer inhibits Stat3-mediated tumor growth and invasion</w:t>
      </w:r>
      <w:r>
        <w:rPr>
          <w:rFonts w:cs="Arial"/>
          <w:bCs/>
          <w:szCs w:val="22"/>
        </w:rPr>
        <w:t xml:space="preserve">. </w:t>
      </w:r>
      <w:r w:rsidRPr="003E7D39">
        <w:rPr>
          <w:rFonts w:cs="Arial"/>
          <w:b/>
          <w:bCs/>
          <w:i/>
          <w:szCs w:val="22"/>
        </w:rPr>
        <w:t>Cancer Cell</w:t>
      </w:r>
      <w:r>
        <w:rPr>
          <w:rFonts w:cs="Arial"/>
          <w:bCs/>
          <w:szCs w:val="22"/>
        </w:rPr>
        <w:t xml:space="preserve">, </w:t>
      </w:r>
      <w:r w:rsidRPr="006629C0">
        <w:rPr>
          <w:rFonts w:cs="Arial"/>
          <w:bCs/>
          <w:szCs w:val="22"/>
        </w:rPr>
        <w:t>Aug 13;34(2):298-314.e7</w:t>
      </w:r>
    </w:p>
    <w:p w14:paraId="7E688948" w14:textId="77777777" w:rsidR="00BD5D90" w:rsidRPr="006B5751" w:rsidRDefault="00BD5D90" w:rsidP="00BD5D90">
      <w:pPr>
        <w:ind w:right="-540"/>
        <w:jc w:val="both"/>
        <w:rPr>
          <w:rFonts w:cs="Arial"/>
          <w:sz w:val="4"/>
          <w:szCs w:val="4"/>
        </w:rPr>
      </w:pPr>
    </w:p>
    <w:p w14:paraId="7889E34B" w14:textId="77777777" w:rsidR="00BD5D90" w:rsidRDefault="00BD5D90" w:rsidP="00BD5D90">
      <w:pPr>
        <w:tabs>
          <w:tab w:val="left" w:pos="857"/>
        </w:tabs>
        <w:ind w:right="27"/>
        <w:jc w:val="both"/>
        <w:rPr>
          <w:rFonts w:cs="Arial"/>
          <w:sz w:val="6"/>
          <w:szCs w:val="6"/>
        </w:rPr>
      </w:pPr>
    </w:p>
    <w:p w14:paraId="5CE1A9CF" w14:textId="77777777" w:rsidR="00BD5D90" w:rsidRPr="0072362B" w:rsidRDefault="00BD5D90" w:rsidP="00BD5D90">
      <w:pPr>
        <w:tabs>
          <w:tab w:val="left" w:pos="857"/>
        </w:tabs>
        <w:ind w:right="27"/>
        <w:jc w:val="both"/>
        <w:rPr>
          <w:rFonts w:cs="Arial"/>
          <w:sz w:val="6"/>
          <w:szCs w:val="6"/>
        </w:rPr>
      </w:pPr>
    </w:p>
    <w:p w14:paraId="583C43E3" w14:textId="77777777" w:rsidR="00BD5D90" w:rsidRPr="006B5751" w:rsidRDefault="00BD5D90" w:rsidP="00BD5D90">
      <w:pPr>
        <w:tabs>
          <w:tab w:val="left" w:pos="857"/>
        </w:tabs>
        <w:ind w:left="426" w:right="27"/>
        <w:jc w:val="both"/>
        <w:rPr>
          <w:rFonts w:cs="Arial"/>
          <w:sz w:val="4"/>
          <w:szCs w:val="4"/>
        </w:rPr>
      </w:pPr>
    </w:p>
    <w:p w14:paraId="1B054591" w14:textId="77777777" w:rsidR="00BD5D90" w:rsidRPr="00703B42" w:rsidRDefault="00BD5D90" w:rsidP="00BD5D90">
      <w:pPr>
        <w:numPr>
          <w:ilvl w:val="0"/>
          <w:numId w:val="26"/>
        </w:numPr>
        <w:ind w:right="27"/>
        <w:jc w:val="both"/>
        <w:rPr>
          <w:rFonts w:cs="Arial"/>
          <w:b/>
          <w:szCs w:val="22"/>
        </w:rPr>
      </w:pPr>
      <w:r>
        <w:rPr>
          <w:rFonts w:cs="Arial"/>
          <w:szCs w:val="22"/>
        </w:rPr>
        <w:t xml:space="preserve"> </w:t>
      </w:r>
      <w:r w:rsidRPr="00703B42">
        <w:rPr>
          <w:rFonts w:cs="Arial"/>
          <w:b/>
          <w:szCs w:val="22"/>
        </w:rPr>
        <w:t xml:space="preserve">Discovery of two pro-death pathways of wild-type p53 protein at mitochondria, independent of its transcriptional role </w:t>
      </w:r>
    </w:p>
    <w:p w14:paraId="344A86F2" w14:textId="77777777" w:rsidR="00BD5D90" w:rsidRPr="00E0167B" w:rsidRDefault="00BD5D90" w:rsidP="00BD5D90">
      <w:pPr>
        <w:ind w:left="426" w:right="27"/>
        <w:jc w:val="both"/>
        <w:rPr>
          <w:rFonts w:cs="Arial"/>
          <w:sz w:val="6"/>
          <w:szCs w:val="6"/>
        </w:rPr>
      </w:pPr>
    </w:p>
    <w:p w14:paraId="2A27BF64" w14:textId="77777777" w:rsidR="00BD5D90" w:rsidRPr="006B5751" w:rsidRDefault="00BD5D90" w:rsidP="00BD5D90">
      <w:pPr>
        <w:numPr>
          <w:ilvl w:val="0"/>
          <w:numId w:val="28"/>
        </w:numPr>
        <w:ind w:right="27"/>
        <w:jc w:val="both"/>
        <w:rPr>
          <w:rFonts w:cs="Arial"/>
          <w:szCs w:val="22"/>
        </w:rPr>
      </w:pPr>
      <w:r w:rsidRPr="006B5751">
        <w:rPr>
          <w:rFonts w:cs="Arial"/>
          <w:szCs w:val="22"/>
        </w:rPr>
        <w:t xml:space="preserve">We identified that a fraction of stress-induced wild-type p53 rapidly translocates to the mitochondrial outer membrane (MOM) and interacts with members of the pro-and anti-apoptotic Bcl2 family of MOM permeability regulators to induce apoptosis. This death mechanism occurs widely in radiosensitive normal tissues </w:t>
      </w:r>
      <w:r w:rsidRPr="006B5751">
        <w:rPr>
          <w:rFonts w:cs="Arial"/>
          <w:i/>
          <w:szCs w:val="22"/>
        </w:rPr>
        <w:t>in vivo</w:t>
      </w:r>
      <w:r w:rsidRPr="006B5751">
        <w:rPr>
          <w:rFonts w:cs="Arial"/>
          <w:szCs w:val="22"/>
        </w:rPr>
        <w:t>, in normal cells after viral and cellular oncogenes and in cancer cells after chemotherapeutics and hypoxia.</w:t>
      </w:r>
    </w:p>
    <w:p w14:paraId="51E63220" w14:textId="77777777" w:rsidR="00BD5D90" w:rsidRPr="00E0167B" w:rsidRDefault="00BD5D90" w:rsidP="00BD5D90">
      <w:pPr>
        <w:ind w:left="426" w:right="27"/>
        <w:jc w:val="both"/>
        <w:rPr>
          <w:rFonts w:cs="Arial"/>
          <w:sz w:val="6"/>
          <w:szCs w:val="6"/>
        </w:rPr>
      </w:pPr>
    </w:p>
    <w:p w14:paraId="071DC474" w14:textId="1C5B1A46" w:rsidR="00BD5D90" w:rsidRPr="006B5751" w:rsidRDefault="00BD5D90" w:rsidP="00BD5D90">
      <w:pPr>
        <w:numPr>
          <w:ilvl w:val="0"/>
          <w:numId w:val="28"/>
        </w:numPr>
        <w:ind w:right="27"/>
        <w:jc w:val="both"/>
        <w:rPr>
          <w:rFonts w:cs="Arial"/>
          <w:szCs w:val="22"/>
        </w:rPr>
      </w:pPr>
      <w:r w:rsidRPr="006B5751">
        <w:rPr>
          <w:rFonts w:cs="Arial"/>
          <w:szCs w:val="22"/>
        </w:rPr>
        <w:t xml:space="preserve">We identified a second critical role of wild-type p53 protein in </w:t>
      </w:r>
      <w:r w:rsidRPr="006B5751">
        <w:rPr>
          <w:rFonts w:cs="Arial"/>
          <w:iCs/>
          <w:szCs w:val="22"/>
        </w:rPr>
        <w:t xml:space="preserve">regulating </w:t>
      </w:r>
      <w:r w:rsidRPr="006B5751">
        <w:rPr>
          <w:rFonts w:cs="Arial"/>
          <w:szCs w:val="22"/>
        </w:rPr>
        <w:t xml:space="preserve">ischemic </w:t>
      </w:r>
      <w:r w:rsidRPr="006B5751">
        <w:rPr>
          <w:rFonts w:cs="Arial"/>
          <w:i/>
          <w:szCs w:val="22"/>
        </w:rPr>
        <w:t xml:space="preserve">necrosis </w:t>
      </w:r>
      <w:r w:rsidRPr="006B5751">
        <w:rPr>
          <w:rFonts w:cs="Arial"/>
          <w:szCs w:val="22"/>
        </w:rPr>
        <w:t xml:space="preserve">at the mitochondria. In response to oxidative stress, p53 accumulates in the mitochondrial matrix and opens the mitochondrial permeability transition pore (mPTP) by engaging in a physical interaction with CypD and activating its peptidyl-isomerase activity. This triggers oxidative stress-induced necrosis and ischemic stroke in vivo. A robust p53-CypD complex forms during brain ischemia/reperfusion injury. In contrast, reduction of p53 levels or cyclosporine A pretreatment of mice prevents this complex and is associated with effective stroke protection. This work uncovered a previously unknown role of p53 in activating necrosis and implicates the mitochondrial p53-CypD axis in stroke pathology. </w:t>
      </w:r>
    </w:p>
    <w:p w14:paraId="1C064CEA" w14:textId="77777777" w:rsidR="00BD5D90" w:rsidRPr="00E0167B" w:rsidRDefault="00BD5D90" w:rsidP="00BD5D90">
      <w:pPr>
        <w:ind w:left="426" w:right="27"/>
        <w:jc w:val="both"/>
        <w:rPr>
          <w:rFonts w:cs="Arial"/>
          <w:sz w:val="6"/>
          <w:szCs w:val="6"/>
        </w:rPr>
      </w:pPr>
    </w:p>
    <w:p w14:paraId="38C17E61" w14:textId="77777777" w:rsidR="00BD5D90" w:rsidRPr="006B5751" w:rsidRDefault="00BD5D90" w:rsidP="00BD5D90">
      <w:pPr>
        <w:tabs>
          <w:tab w:val="left" w:pos="1476"/>
        </w:tabs>
        <w:ind w:left="426" w:right="27"/>
        <w:jc w:val="both"/>
        <w:rPr>
          <w:rFonts w:cs="Arial"/>
          <w:sz w:val="4"/>
          <w:szCs w:val="4"/>
        </w:rPr>
      </w:pPr>
      <w:r w:rsidRPr="006B5751">
        <w:rPr>
          <w:rFonts w:cs="Arial"/>
          <w:szCs w:val="22"/>
        </w:rPr>
        <w:tab/>
      </w:r>
    </w:p>
    <w:p w14:paraId="721A331D" w14:textId="12ADBD22" w:rsidR="00BD5D90" w:rsidRPr="006B5751" w:rsidRDefault="00BD5D90" w:rsidP="00BD5D90">
      <w:pPr>
        <w:numPr>
          <w:ilvl w:val="1"/>
          <w:numId w:val="24"/>
        </w:numPr>
        <w:ind w:left="993" w:right="27"/>
        <w:jc w:val="both"/>
        <w:rPr>
          <w:rFonts w:cs="Arial"/>
          <w:szCs w:val="22"/>
        </w:rPr>
      </w:pPr>
      <w:r w:rsidRPr="00C95E25">
        <w:rPr>
          <w:rFonts w:cs="Arial"/>
          <w:szCs w:val="22"/>
        </w:rPr>
        <w:t xml:space="preserve">Mihara M, Erster S, Zaika A, Petrenko O, Chittenden T, Pancoska P, </w:t>
      </w:r>
      <w:r w:rsidRPr="00C95E25">
        <w:rPr>
          <w:rFonts w:cs="Arial"/>
          <w:b/>
          <w:szCs w:val="22"/>
        </w:rPr>
        <w:t>Moll UM</w:t>
      </w:r>
      <w:r w:rsidRPr="00C95E25">
        <w:rPr>
          <w:rFonts w:cs="Arial"/>
          <w:szCs w:val="22"/>
        </w:rPr>
        <w:t xml:space="preserve"> (2003). </w:t>
      </w:r>
      <w:r w:rsidRPr="00E501A4">
        <w:rPr>
          <w:rFonts w:cs="Arial"/>
          <w:szCs w:val="22"/>
        </w:rPr>
        <w:t>p53 has a direct apoptogenic role at the mitochondria</w:t>
      </w:r>
      <w:r w:rsidRPr="006B5751">
        <w:rPr>
          <w:rFonts w:cs="Arial"/>
          <w:szCs w:val="22"/>
        </w:rPr>
        <w:t xml:space="preserve">. </w:t>
      </w:r>
      <w:r w:rsidRPr="006B5751">
        <w:rPr>
          <w:rFonts w:cs="Arial"/>
          <w:b/>
          <w:i/>
          <w:szCs w:val="22"/>
        </w:rPr>
        <w:t>Mol Cell</w:t>
      </w:r>
      <w:r w:rsidRPr="006B5751">
        <w:rPr>
          <w:rFonts w:cs="Arial"/>
          <w:szCs w:val="22"/>
        </w:rPr>
        <w:t xml:space="preserve"> 11(3): 577-90.  </w:t>
      </w:r>
    </w:p>
    <w:p w14:paraId="7227E49B" w14:textId="77777777" w:rsidR="00BD5D90" w:rsidRPr="006B5751" w:rsidRDefault="00BD5D90" w:rsidP="00BD5D90">
      <w:pPr>
        <w:ind w:left="993" w:right="27"/>
        <w:jc w:val="both"/>
        <w:rPr>
          <w:rFonts w:cs="Arial"/>
          <w:bCs/>
          <w:sz w:val="6"/>
          <w:szCs w:val="6"/>
        </w:rPr>
      </w:pPr>
    </w:p>
    <w:p w14:paraId="7F79FEEC" w14:textId="083049C0" w:rsidR="00BD5D90" w:rsidRPr="006B5751" w:rsidRDefault="00BD5D90" w:rsidP="00BD5D90">
      <w:pPr>
        <w:numPr>
          <w:ilvl w:val="1"/>
          <w:numId w:val="24"/>
        </w:numPr>
        <w:ind w:left="993" w:right="27"/>
        <w:jc w:val="both"/>
        <w:rPr>
          <w:rFonts w:cs="Arial"/>
          <w:bCs/>
          <w:szCs w:val="22"/>
        </w:rPr>
      </w:pPr>
      <w:r w:rsidRPr="006B5751">
        <w:rPr>
          <w:rFonts w:cs="Arial"/>
          <w:szCs w:val="22"/>
        </w:rPr>
        <w:t xml:space="preserve">Talos F, Petrenko O, Mena P and </w:t>
      </w:r>
      <w:r w:rsidRPr="006B5751">
        <w:rPr>
          <w:rFonts w:cs="Arial"/>
          <w:b/>
          <w:szCs w:val="22"/>
        </w:rPr>
        <w:t>Moll UM</w:t>
      </w:r>
      <w:r w:rsidRPr="006B5751">
        <w:rPr>
          <w:rFonts w:cs="Arial"/>
          <w:szCs w:val="22"/>
        </w:rPr>
        <w:t xml:space="preserve"> (2005). </w:t>
      </w:r>
      <w:r w:rsidRPr="00E501A4">
        <w:rPr>
          <w:rFonts w:cs="Arial"/>
          <w:szCs w:val="22"/>
        </w:rPr>
        <w:t>Mitochondrially Targeted p53 has Tumor Suppressor Activities In vivo</w:t>
      </w:r>
      <w:r w:rsidRPr="006B5751">
        <w:rPr>
          <w:rFonts w:cs="Arial"/>
          <w:szCs w:val="22"/>
        </w:rPr>
        <w:t xml:space="preserve">. </w:t>
      </w:r>
      <w:r w:rsidRPr="006B5751">
        <w:rPr>
          <w:rFonts w:cs="Arial"/>
          <w:b/>
          <w:i/>
          <w:szCs w:val="22"/>
        </w:rPr>
        <w:t>Cancer Res</w:t>
      </w:r>
      <w:r w:rsidRPr="006B5751">
        <w:rPr>
          <w:rFonts w:cs="Arial"/>
          <w:szCs w:val="22"/>
        </w:rPr>
        <w:t xml:space="preserve"> 65(21):1-11. </w:t>
      </w:r>
    </w:p>
    <w:p w14:paraId="0635A43E" w14:textId="77777777" w:rsidR="00BD5D90" w:rsidRPr="006B5751" w:rsidRDefault="00BD5D90" w:rsidP="00BD5D90">
      <w:pPr>
        <w:rPr>
          <w:rFonts w:cs="Arial"/>
          <w:sz w:val="6"/>
          <w:szCs w:val="6"/>
        </w:rPr>
      </w:pPr>
    </w:p>
    <w:p w14:paraId="52EA7F6B" w14:textId="7698BD20" w:rsidR="00BD5D90" w:rsidRPr="006B5751" w:rsidRDefault="00BD5D90" w:rsidP="00BD5D90">
      <w:pPr>
        <w:numPr>
          <w:ilvl w:val="1"/>
          <w:numId w:val="24"/>
        </w:numPr>
        <w:ind w:left="993" w:right="27"/>
        <w:jc w:val="both"/>
        <w:rPr>
          <w:rFonts w:cs="Arial"/>
          <w:bCs/>
          <w:szCs w:val="22"/>
        </w:rPr>
      </w:pPr>
      <w:r w:rsidRPr="006B5751">
        <w:rPr>
          <w:rFonts w:cs="Arial"/>
          <w:szCs w:val="22"/>
        </w:rPr>
        <w:t xml:space="preserve">Marchenko ND, Wolff S, Erster S and </w:t>
      </w:r>
      <w:r w:rsidRPr="006B5751">
        <w:rPr>
          <w:rFonts w:cs="Arial"/>
          <w:b/>
          <w:szCs w:val="22"/>
        </w:rPr>
        <w:t>Moll UM</w:t>
      </w:r>
      <w:r w:rsidRPr="006B5751">
        <w:rPr>
          <w:rFonts w:cs="Arial"/>
          <w:szCs w:val="22"/>
        </w:rPr>
        <w:t xml:space="preserve"> (2007). </w:t>
      </w:r>
      <w:r w:rsidRPr="00E501A4">
        <w:rPr>
          <w:rFonts w:cs="Arial"/>
          <w:szCs w:val="22"/>
        </w:rPr>
        <w:t>Monoubiquitylation promotes mitochondrial p53 translocation</w:t>
      </w:r>
      <w:r w:rsidRPr="006B5751">
        <w:rPr>
          <w:rFonts w:cs="Arial"/>
          <w:szCs w:val="22"/>
        </w:rPr>
        <w:t xml:space="preserve">. </w:t>
      </w:r>
      <w:r w:rsidRPr="006B5751">
        <w:rPr>
          <w:rFonts w:cs="Arial"/>
          <w:b/>
          <w:i/>
          <w:szCs w:val="22"/>
        </w:rPr>
        <w:t>EMBO J</w:t>
      </w:r>
      <w:r w:rsidRPr="006B5751">
        <w:rPr>
          <w:rFonts w:cs="Arial"/>
          <w:szCs w:val="22"/>
        </w:rPr>
        <w:t xml:space="preserve"> 26(4):923-34. </w:t>
      </w:r>
    </w:p>
    <w:p w14:paraId="0926FBC0" w14:textId="77777777" w:rsidR="00BD5D90" w:rsidRPr="006B5751" w:rsidRDefault="00BD5D90" w:rsidP="00BD5D90">
      <w:pPr>
        <w:ind w:left="993" w:right="27"/>
        <w:jc w:val="both"/>
        <w:rPr>
          <w:rFonts w:cs="Arial"/>
          <w:bCs/>
          <w:sz w:val="6"/>
          <w:szCs w:val="6"/>
        </w:rPr>
      </w:pPr>
    </w:p>
    <w:p w14:paraId="379499FD" w14:textId="776ECF74" w:rsidR="00BD5D90" w:rsidRPr="002D76A2" w:rsidRDefault="00BD5D90" w:rsidP="00BD5D90">
      <w:pPr>
        <w:numPr>
          <w:ilvl w:val="1"/>
          <w:numId w:val="24"/>
        </w:numPr>
        <w:ind w:left="993" w:right="27"/>
        <w:jc w:val="both"/>
        <w:rPr>
          <w:rFonts w:cs="Arial"/>
          <w:bCs/>
          <w:color w:val="0432FF"/>
          <w:szCs w:val="22"/>
        </w:rPr>
      </w:pPr>
      <w:r w:rsidRPr="004E07B9">
        <w:rPr>
          <w:rFonts w:cs="Arial"/>
          <w:color w:val="000000"/>
          <w:szCs w:val="22"/>
        </w:rPr>
        <w:lastRenderedPageBreak/>
        <w:t>V</w:t>
      </w:r>
      <w:r w:rsidRPr="006B5751">
        <w:rPr>
          <w:rFonts w:cs="Arial"/>
          <w:szCs w:val="22"/>
        </w:rPr>
        <w:t xml:space="preserve">aseva AV, Marchenko ND, Ji K, Tsirka SE, Holzmann S, </w:t>
      </w:r>
      <w:r w:rsidRPr="006B5751">
        <w:rPr>
          <w:rFonts w:cs="Arial"/>
          <w:b/>
          <w:szCs w:val="22"/>
        </w:rPr>
        <w:t>Moll UM</w:t>
      </w:r>
      <w:r w:rsidRPr="006B5751">
        <w:rPr>
          <w:rFonts w:cs="Arial"/>
          <w:szCs w:val="22"/>
        </w:rPr>
        <w:t xml:space="preserve"> (2012</w:t>
      </w:r>
      <w:r w:rsidRPr="00E501A4">
        <w:rPr>
          <w:rFonts w:cs="Arial"/>
          <w:szCs w:val="22"/>
        </w:rPr>
        <w:t xml:space="preserve">). </w:t>
      </w:r>
      <w:r w:rsidRPr="00E501A4">
        <w:rPr>
          <w:rFonts w:cs="Arial"/>
          <w:bCs/>
          <w:szCs w:val="22"/>
        </w:rPr>
        <w:t>p53 opens the mitochondrial</w:t>
      </w:r>
      <w:r w:rsidRPr="00E501A4">
        <w:rPr>
          <w:rFonts w:cs="Arial"/>
          <w:szCs w:val="22"/>
        </w:rPr>
        <w:t xml:space="preserve"> </w:t>
      </w:r>
      <w:r w:rsidRPr="00E501A4">
        <w:rPr>
          <w:rFonts w:cs="Arial"/>
          <w:bCs/>
          <w:szCs w:val="22"/>
        </w:rPr>
        <w:t>permeability transition pore to</w:t>
      </w:r>
      <w:r w:rsidRPr="00E501A4">
        <w:rPr>
          <w:rFonts w:cs="Arial"/>
          <w:szCs w:val="22"/>
        </w:rPr>
        <w:t xml:space="preserve"> </w:t>
      </w:r>
      <w:r w:rsidRPr="00E501A4">
        <w:rPr>
          <w:rFonts w:cs="Arial"/>
          <w:bCs/>
          <w:szCs w:val="22"/>
        </w:rPr>
        <w:t>trigger necrosis</w:t>
      </w:r>
      <w:r w:rsidRPr="006B5751">
        <w:rPr>
          <w:rFonts w:cs="Arial"/>
          <w:bCs/>
          <w:szCs w:val="22"/>
        </w:rPr>
        <w:t xml:space="preserve">. </w:t>
      </w:r>
      <w:r w:rsidRPr="006B5751">
        <w:rPr>
          <w:rFonts w:cs="Arial"/>
          <w:b/>
          <w:bCs/>
          <w:i/>
          <w:szCs w:val="22"/>
        </w:rPr>
        <w:t>Cell</w:t>
      </w:r>
      <w:r w:rsidRPr="006B5751">
        <w:rPr>
          <w:rFonts w:cs="Arial"/>
          <w:szCs w:val="22"/>
        </w:rPr>
        <w:t xml:space="preserve"> 149, 1536-1548.</w:t>
      </w:r>
      <w:r w:rsidRPr="006B5751">
        <w:rPr>
          <w:rFonts w:cs="Arial"/>
          <w:bCs/>
          <w:szCs w:val="22"/>
        </w:rPr>
        <w:t xml:space="preserve"> </w:t>
      </w:r>
      <w:r w:rsidRPr="002D76A2">
        <w:rPr>
          <w:rFonts w:cs="Arial"/>
          <w:bCs/>
          <w:color w:val="0432FF"/>
          <w:szCs w:val="22"/>
        </w:rPr>
        <w:t xml:space="preserve">Featured as Cover story of the </w:t>
      </w:r>
      <w:r w:rsidRPr="002D76A2">
        <w:rPr>
          <w:rFonts w:cs="Arial"/>
          <w:bCs/>
          <w:i/>
          <w:color w:val="0432FF"/>
          <w:szCs w:val="22"/>
        </w:rPr>
        <w:t>Cell</w:t>
      </w:r>
      <w:r w:rsidRPr="002D76A2">
        <w:rPr>
          <w:rFonts w:cs="Arial"/>
          <w:bCs/>
          <w:color w:val="0432FF"/>
          <w:szCs w:val="22"/>
        </w:rPr>
        <w:t xml:space="preserve"> issue.</w:t>
      </w:r>
    </w:p>
    <w:p w14:paraId="5AE46350" w14:textId="77777777" w:rsidR="00BD5D90" w:rsidRPr="00703B42" w:rsidRDefault="00BD5D90" w:rsidP="00BD5D90">
      <w:pPr>
        <w:tabs>
          <w:tab w:val="left" w:pos="911"/>
        </w:tabs>
        <w:ind w:right="27"/>
        <w:jc w:val="both"/>
        <w:rPr>
          <w:rFonts w:cs="Arial"/>
          <w:sz w:val="8"/>
          <w:szCs w:val="8"/>
        </w:rPr>
      </w:pPr>
      <w:r w:rsidRPr="006B5751">
        <w:rPr>
          <w:rFonts w:cs="Arial"/>
          <w:szCs w:val="22"/>
        </w:rPr>
        <w:tab/>
      </w:r>
    </w:p>
    <w:p w14:paraId="06C2DD31" w14:textId="77777777" w:rsidR="00BD5D90" w:rsidRPr="006B5751" w:rsidRDefault="00BD5D90" w:rsidP="00BD5D90">
      <w:pPr>
        <w:tabs>
          <w:tab w:val="left" w:pos="784"/>
        </w:tabs>
        <w:ind w:left="426" w:right="27"/>
        <w:jc w:val="both"/>
        <w:rPr>
          <w:rFonts w:cs="Arial"/>
          <w:sz w:val="4"/>
          <w:szCs w:val="4"/>
        </w:rPr>
      </w:pPr>
      <w:r w:rsidRPr="006B5751">
        <w:rPr>
          <w:rFonts w:cs="Arial"/>
          <w:szCs w:val="22"/>
        </w:rPr>
        <w:tab/>
      </w:r>
    </w:p>
    <w:p w14:paraId="7CAC4E34" w14:textId="77777777" w:rsidR="00BD5D90" w:rsidRDefault="00BD5D90" w:rsidP="00BD5D90">
      <w:pPr>
        <w:ind w:left="426" w:right="27"/>
        <w:jc w:val="both"/>
        <w:rPr>
          <w:rFonts w:cs="Arial"/>
          <w:sz w:val="6"/>
          <w:szCs w:val="6"/>
        </w:rPr>
      </w:pPr>
    </w:p>
    <w:p w14:paraId="794123F0" w14:textId="77777777" w:rsidR="00BD5D90" w:rsidRDefault="00BD5D90" w:rsidP="00BD5D90">
      <w:pPr>
        <w:ind w:left="426" w:right="27"/>
        <w:jc w:val="both"/>
        <w:rPr>
          <w:rFonts w:cs="Arial"/>
          <w:sz w:val="6"/>
          <w:szCs w:val="6"/>
        </w:rPr>
      </w:pPr>
    </w:p>
    <w:p w14:paraId="530CA28D" w14:textId="77777777" w:rsidR="00BD5D90" w:rsidRPr="00E0167B" w:rsidRDefault="00BD5D90" w:rsidP="00BD5D90">
      <w:pPr>
        <w:ind w:left="426" w:right="27"/>
        <w:jc w:val="both"/>
        <w:rPr>
          <w:rFonts w:cs="Arial"/>
          <w:sz w:val="6"/>
          <w:szCs w:val="6"/>
        </w:rPr>
      </w:pPr>
    </w:p>
    <w:p w14:paraId="26C4D883" w14:textId="77777777" w:rsidR="00BD5D90" w:rsidRPr="00D52E40" w:rsidRDefault="00BD5D90" w:rsidP="00BD5D90">
      <w:pPr>
        <w:numPr>
          <w:ilvl w:val="0"/>
          <w:numId w:val="25"/>
        </w:numPr>
        <w:ind w:left="426" w:right="27"/>
        <w:jc w:val="both"/>
        <w:rPr>
          <w:rFonts w:cs="Arial"/>
          <w:szCs w:val="22"/>
        </w:rPr>
      </w:pPr>
      <w:r w:rsidRPr="006B5751">
        <w:rPr>
          <w:rFonts w:cs="Arial"/>
          <w:b/>
          <w:szCs w:val="22"/>
        </w:rPr>
        <w:t>p73 gene</w:t>
      </w:r>
      <w:r>
        <w:rPr>
          <w:rFonts w:cs="Arial"/>
          <w:b/>
          <w:szCs w:val="22"/>
        </w:rPr>
        <w:t xml:space="preserve"> biology </w:t>
      </w:r>
    </w:p>
    <w:p w14:paraId="68B2D288" w14:textId="77777777" w:rsidR="00BD5D90" w:rsidRPr="00C11E22" w:rsidRDefault="00BD5D90" w:rsidP="00BD5D90">
      <w:pPr>
        <w:ind w:left="426" w:right="27"/>
        <w:jc w:val="both"/>
        <w:rPr>
          <w:rFonts w:cs="Arial"/>
          <w:szCs w:val="22"/>
        </w:rPr>
      </w:pPr>
      <w:r w:rsidRPr="00D52E40">
        <w:rPr>
          <w:rFonts w:cs="Arial"/>
          <w:szCs w:val="22"/>
        </w:rPr>
        <w:t>My work</w:t>
      </w:r>
      <w:r w:rsidRPr="006B5751">
        <w:rPr>
          <w:rFonts w:cs="Arial"/>
          <w:szCs w:val="22"/>
        </w:rPr>
        <w:t xml:space="preserve"> on the </w:t>
      </w:r>
      <w:r w:rsidRPr="00703B42">
        <w:rPr>
          <w:rFonts w:cs="Arial"/>
          <w:szCs w:val="22"/>
        </w:rPr>
        <w:t xml:space="preserve">p73 gene </w:t>
      </w:r>
      <w:r>
        <w:rPr>
          <w:rFonts w:cs="Arial"/>
          <w:szCs w:val="22"/>
        </w:rPr>
        <w:t xml:space="preserve">greatly </w:t>
      </w:r>
      <w:r w:rsidRPr="00703B42">
        <w:rPr>
          <w:rFonts w:cs="Arial"/>
          <w:szCs w:val="22"/>
        </w:rPr>
        <w:t>advanced</w:t>
      </w:r>
      <w:r w:rsidRPr="006B5751">
        <w:rPr>
          <w:rFonts w:cs="Arial"/>
          <w:szCs w:val="22"/>
        </w:rPr>
        <w:t xml:space="preserve"> our knowledge of this important but previously poorly characterized gene. We identified new and unexpected fundamental functions of p73 in normal development and adult tissue homeostasis. Furthermore, we defined its complex role in cancer as both a tumor suppressor and a tumor-promoter, depending on the predominant isoform expressed (28 </w:t>
      </w:r>
      <w:r w:rsidRPr="00C11E22">
        <w:rPr>
          <w:rFonts w:cs="Arial"/>
          <w:szCs w:val="22"/>
        </w:rPr>
        <w:t xml:space="preserve">publications in total).  </w:t>
      </w:r>
    </w:p>
    <w:p w14:paraId="2F43AD68" w14:textId="77777777" w:rsidR="00BD5D90" w:rsidRPr="00C11E22" w:rsidRDefault="00BD5D90" w:rsidP="00BD5D90">
      <w:pPr>
        <w:ind w:left="426" w:right="27"/>
        <w:jc w:val="both"/>
        <w:rPr>
          <w:rFonts w:cs="Arial"/>
          <w:b/>
          <w:sz w:val="6"/>
          <w:szCs w:val="6"/>
        </w:rPr>
      </w:pPr>
    </w:p>
    <w:p w14:paraId="52604E3D" w14:textId="77777777" w:rsidR="00BD5D90" w:rsidRPr="00C11E22" w:rsidRDefault="00BD5D90" w:rsidP="00BD5D90">
      <w:pPr>
        <w:numPr>
          <w:ilvl w:val="0"/>
          <w:numId w:val="29"/>
        </w:numPr>
        <w:ind w:right="27"/>
        <w:jc w:val="both"/>
        <w:rPr>
          <w:rFonts w:cs="Arial"/>
          <w:szCs w:val="22"/>
        </w:rPr>
      </w:pPr>
      <w:r w:rsidRPr="00C11E22">
        <w:rPr>
          <w:rFonts w:cs="Arial"/>
          <w:szCs w:val="22"/>
        </w:rPr>
        <w:t>My lab was the first to show overexpression of Delta</w:t>
      </w:r>
      <w:r w:rsidRPr="00C11E22">
        <w:rPr>
          <w:rFonts w:cs="Arial"/>
          <w:bCs/>
          <w:szCs w:val="22"/>
        </w:rPr>
        <w:t>N</w:t>
      </w:r>
      <w:r w:rsidRPr="00C11E22">
        <w:rPr>
          <w:rFonts w:cs="Arial"/>
          <w:szCs w:val="22"/>
        </w:rPr>
        <w:t>p73 isoform (a potent “dominant negative” inhibitor of the entire p53 gene family) in human cancers, later confirmed by many others. This provides the explanation for why p73 - unlike its cousin p53 - is virtually never mutated in cancer (because there is no need to, since Delta</w:t>
      </w:r>
      <w:r w:rsidRPr="00C11E22">
        <w:rPr>
          <w:rFonts w:cs="Arial"/>
          <w:bCs/>
          <w:szCs w:val="22"/>
        </w:rPr>
        <w:t>N</w:t>
      </w:r>
      <w:r w:rsidRPr="00C11E22">
        <w:rPr>
          <w:rFonts w:cs="Arial"/>
          <w:szCs w:val="22"/>
        </w:rPr>
        <w:t xml:space="preserve">p73 inhibits all other p73 isoforms. </w:t>
      </w:r>
    </w:p>
    <w:p w14:paraId="53A663BC" w14:textId="77777777" w:rsidR="00BD5D90" w:rsidRPr="00C11E22" w:rsidRDefault="00BD5D90" w:rsidP="00BD5D90">
      <w:pPr>
        <w:ind w:left="426" w:right="27"/>
        <w:jc w:val="both"/>
        <w:rPr>
          <w:rFonts w:cs="Arial"/>
          <w:b/>
          <w:sz w:val="6"/>
          <w:szCs w:val="6"/>
        </w:rPr>
      </w:pPr>
    </w:p>
    <w:p w14:paraId="314CFA84" w14:textId="77777777" w:rsidR="00BD5D90" w:rsidRPr="00C11E22" w:rsidRDefault="00BD5D90" w:rsidP="00BD5D90">
      <w:pPr>
        <w:numPr>
          <w:ilvl w:val="0"/>
          <w:numId w:val="29"/>
        </w:numPr>
        <w:ind w:right="27"/>
        <w:jc w:val="both"/>
        <w:rPr>
          <w:rFonts w:cs="Arial"/>
          <w:bCs/>
          <w:szCs w:val="22"/>
        </w:rPr>
      </w:pPr>
      <w:r w:rsidRPr="00C11E22">
        <w:rPr>
          <w:rFonts w:cs="Arial"/>
          <w:szCs w:val="22"/>
        </w:rPr>
        <w:t xml:space="preserve">We showed </w:t>
      </w:r>
      <w:r w:rsidRPr="00C11E22">
        <w:rPr>
          <w:rFonts w:cs="Arial"/>
          <w:bCs/>
          <w:szCs w:val="22"/>
        </w:rPr>
        <w:t xml:space="preserve">that in normal primary cells p73 strongly contributes to genomic integrity, and that the p73 locus is an essential last line of defense for suppressing polyploidy and aneuploidy when p53 is inactivated. </w:t>
      </w:r>
    </w:p>
    <w:p w14:paraId="71335DE9" w14:textId="77777777" w:rsidR="00BD5D90" w:rsidRPr="00C11E22" w:rsidRDefault="00BD5D90" w:rsidP="00BD5D90">
      <w:pPr>
        <w:ind w:left="426" w:right="27"/>
        <w:jc w:val="both"/>
        <w:rPr>
          <w:rFonts w:cs="Arial"/>
          <w:b/>
          <w:bCs/>
          <w:sz w:val="6"/>
          <w:szCs w:val="6"/>
        </w:rPr>
      </w:pPr>
    </w:p>
    <w:p w14:paraId="5AA6AA2E" w14:textId="77777777" w:rsidR="00BD5D90" w:rsidRPr="00C11E22" w:rsidRDefault="00BD5D90" w:rsidP="00BD5D90">
      <w:pPr>
        <w:numPr>
          <w:ilvl w:val="0"/>
          <w:numId w:val="29"/>
        </w:numPr>
        <w:ind w:right="27"/>
        <w:jc w:val="both"/>
        <w:rPr>
          <w:rFonts w:cs="Arial"/>
          <w:bCs/>
          <w:szCs w:val="22"/>
        </w:rPr>
      </w:pPr>
      <w:r w:rsidRPr="00C11E22">
        <w:rPr>
          <w:rFonts w:cs="Arial"/>
          <w:bCs/>
          <w:szCs w:val="22"/>
        </w:rPr>
        <w:t xml:space="preserve">We provided the first </w:t>
      </w:r>
      <w:r w:rsidRPr="00C11E22">
        <w:rPr>
          <w:rFonts w:cs="Arial"/>
          <w:bCs/>
          <w:i/>
          <w:szCs w:val="22"/>
        </w:rPr>
        <w:t>in vivo</w:t>
      </w:r>
      <w:r w:rsidRPr="00C11E22">
        <w:rPr>
          <w:rFonts w:cs="Arial"/>
          <w:bCs/>
          <w:szCs w:val="22"/>
        </w:rPr>
        <w:t xml:space="preserve"> evidence that TAp73 - which is frequently silenced in human lymphomas - is a </w:t>
      </w:r>
      <w:r w:rsidRPr="00C11E22">
        <w:rPr>
          <w:rFonts w:cs="Arial"/>
          <w:bCs/>
          <w:i/>
          <w:szCs w:val="22"/>
        </w:rPr>
        <w:t>bone fide</w:t>
      </w:r>
      <w:r w:rsidRPr="00C11E22">
        <w:rPr>
          <w:rFonts w:cs="Arial"/>
          <w:bCs/>
          <w:szCs w:val="22"/>
        </w:rPr>
        <w:t xml:space="preserve"> tumor suppressor. p73 gene ablation in knockout mice greatly promotes dissemination of Myc-induced B-lymphoma, and mechanistically it does so by deregulating the transcriptional program for lymphocyte homing. We also showed that this same homing program is deregulated in high grade </w:t>
      </w:r>
      <w:r w:rsidRPr="00C11E22">
        <w:rPr>
          <w:rFonts w:cs="Arial"/>
          <w:bCs/>
          <w:i/>
          <w:szCs w:val="22"/>
        </w:rPr>
        <w:t>human</w:t>
      </w:r>
      <w:r w:rsidRPr="00C11E22">
        <w:rPr>
          <w:rFonts w:cs="Arial"/>
          <w:bCs/>
          <w:szCs w:val="22"/>
        </w:rPr>
        <w:t xml:space="preserve"> B-lymphoma with silenced TAp73. </w:t>
      </w:r>
    </w:p>
    <w:p w14:paraId="46DB8E56" w14:textId="77777777" w:rsidR="00BD5D90" w:rsidRPr="00C11E22" w:rsidRDefault="00BD5D90" w:rsidP="00BD5D90">
      <w:pPr>
        <w:ind w:left="426" w:right="27"/>
        <w:jc w:val="both"/>
        <w:rPr>
          <w:rFonts w:cs="Arial"/>
          <w:bCs/>
          <w:sz w:val="6"/>
          <w:szCs w:val="6"/>
        </w:rPr>
      </w:pPr>
    </w:p>
    <w:p w14:paraId="6FF05B19" w14:textId="77777777" w:rsidR="00BD5D90" w:rsidRPr="00C11E22" w:rsidRDefault="00BD5D90" w:rsidP="00BD5D90">
      <w:pPr>
        <w:numPr>
          <w:ilvl w:val="0"/>
          <w:numId w:val="29"/>
        </w:numPr>
        <w:ind w:right="27"/>
        <w:jc w:val="both"/>
        <w:rPr>
          <w:rFonts w:cs="Arial"/>
          <w:szCs w:val="22"/>
        </w:rPr>
      </w:pPr>
      <w:r w:rsidRPr="00C11E22">
        <w:rPr>
          <w:rFonts w:cs="Arial"/>
          <w:bCs/>
          <w:szCs w:val="22"/>
        </w:rPr>
        <w:t>We made a series of fundamental discoveries that reveal essential developmental and homeostatic roles of p73 in normal mammalian tissues.</w:t>
      </w:r>
      <w:r w:rsidRPr="00C11E22">
        <w:rPr>
          <w:rFonts w:cs="Arial"/>
          <w:b/>
          <w:bCs/>
          <w:szCs w:val="22"/>
        </w:rPr>
        <w:t xml:space="preserve"> </w:t>
      </w:r>
      <w:r w:rsidRPr="00C11E22">
        <w:rPr>
          <w:rFonts w:cs="Arial"/>
          <w:bCs/>
          <w:szCs w:val="22"/>
        </w:rPr>
        <w:t xml:space="preserve">We showed that the p73 gene locus is an essential regulator for maintaining the neural stem cell pool in both embryonal and adult CNS neurogenesis. We also found that p73 expression is essential for generating the ciliated ependymal cells lining the CNS ventricles. This also provided an explanation for the dramatic CNS phenotype that p73KO mice have (cortical hypoplasia, hippocampal dysgenesis and hydrocephalus). Thus, </w:t>
      </w:r>
      <w:r w:rsidRPr="00C11E22">
        <w:rPr>
          <w:rFonts w:cs="Arial"/>
          <w:szCs w:val="22"/>
        </w:rPr>
        <w:t>p73 is essential for a variety of CNS activities ranging from embryonic and adult regulation of neural stem cells to the control of cerebrospinal fluid homeostasis via maintenance of ependyma.</w:t>
      </w:r>
      <w:r w:rsidRPr="00C11E22">
        <w:rPr>
          <w:rFonts w:cs="Arial"/>
          <w:bCs/>
          <w:szCs w:val="22"/>
        </w:rPr>
        <w:t xml:space="preserve"> Conversely, we showed that while p73 is essential, its homolog p63 is completely dispensable for CNS development </w:t>
      </w:r>
      <w:r w:rsidRPr="00C11E22">
        <w:rPr>
          <w:rFonts w:cs="Arial"/>
          <w:bCs/>
          <w:i/>
          <w:szCs w:val="22"/>
        </w:rPr>
        <w:t>in vivo</w:t>
      </w:r>
      <w:r w:rsidRPr="00C11E22">
        <w:rPr>
          <w:rFonts w:cs="Arial"/>
          <w:bCs/>
          <w:szCs w:val="22"/>
        </w:rPr>
        <w:t xml:space="preserve"> (using p63KO mice). </w:t>
      </w:r>
      <w:r w:rsidRPr="00C11E22">
        <w:rPr>
          <w:rFonts w:cs="Arial"/>
          <w:szCs w:val="22"/>
        </w:rPr>
        <w:t xml:space="preserve">Thus, despite their strong homology, the CNS is an example of strictly unique tissue specificity of p63 (skin) and p73 (brain), distinct from their intra-tissue cooperativity that we discovered in testis and might find in airway epithelium. </w:t>
      </w:r>
    </w:p>
    <w:p w14:paraId="72E3B076" w14:textId="77777777" w:rsidR="00BD5D90" w:rsidRPr="00C11E22" w:rsidRDefault="00BD5D90" w:rsidP="00BD5D90">
      <w:pPr>
        <w:numPr>
          <w:ilvl w:val="0"/>
          <w:numId w:val="29"/>
        </w:numPr>
        <w:ind w:right="27"/>
        <w:jc w:val="both"/>
        <w:rPr>
          <w:rFonts w:cs="Arial"/>
          <w:szCs w:val="22"/>
        </w:rPr>
      </w:pPr>
      <w:r w:rsidRPr="00C11E22">
        <w:rPr>
          <w:rFonts w:cs="Arial"/>
          <w:szCs w:val="22"/>
        </w:rPr>
        <w:t xml:space="preserve">In testis, we established that TAp73 is produced exclusively in germ cells. There it functions as an essential adhesion and maturation factor of the seminiferous epithelium to orchestrate spermiogenesis. It does so by governing a coordinated transcriptional program of adhesion- and migration-related proteins. TAp73 knockout mice have a severe testis phenotype due to massive discohesion and death of immature germ cells from the germinal epithelium, causing near-complete sterility. Thus, this body of work showed that testis is a unique organ with strict division of labor among all family members: p63 and p53 safeguard germ line fidelity, whereas TAp73 ensures fertility by enabling sperm maturation within the deep pockets of interspersed Sertoli nurse cells. </w:t>
      </w:r>
    </w:p>
    <w:p w14:paraId="23F58BBD" w14:textId="77777777" w:rsidR="00BD5D90" w:rsidRPr="00C11E22" w:rsidRDefault="00BD5D90" w:rsidP="00BD5D90">
      <w:pPr>
        <w:ind w:left="426" w:right="27"/>
        <w:jc w:val="both"/>
        <w:rPr>
          <w:rFonts w:cs="Arial"/>
          <w:sz w:val="6"/>
          <w:szCs w:val="6"/>
        </w:rPr>
      </w:pPr>
    </w:p>
    <w:p w14:paraId="1DFEA8A8" w14:textId="77777777" w:rsidR="00BD5D90" w:rsidRPr="00C11E22" w:rsidRDefault="00BD5D90" w:rsidP="00BD5D90">
      <w:pPr>
        <w:numPr>
          <w:ilvl w:val="0"/>
          <w:numId w:val="29"/>
        </w:numPr>
        <w:ind w:right="27"/>
        <w:jc w:val="both"/>
        <w:rPr>
          <w:rFonts w:cs="Arial"/>
          <w:szCs w:val="22"/>
        </w:rPr>
      </w:pPr>
      <w:r w:rsidRPr="00C11E22">
        <w:rPr>
          <w:rFonts w:cs="Arial"/>
          <w:szCs w:val="22"/>
        </w:rPr>
        <w:t xml:space="preserve">In conducting airways, we discovered that TAp73 is the master regulator of airway multiciliogenesis. Motile multiciliated cells (MCCs) are essential for cleaning inhaled pollutants and pathogens from airways and thus have critical roles in respiratory health and disease including COPD. We found that p73 knockout mice suffer from chronic respiratory tract infections due to profound defects in motile ciliogenesis and complete loss of mucociliary clearance. We showed that TAp73 is necessary and sufficient for basal body docking, axonemal extension, and motility during the differentiation of MCC progenitors. Mechanistically, TAp73 is the conserved central transcriptional integrator of multiciliogenesis. TAp73 directly activates the key targets FoxJ1, Rfx2, Rfx3, and miR34bc, plus nearly 50 structural and functional ciliary genes, 8 of which are associated with human genetic ciliopathies. Our results position TAp73 as the novel central regulator of MCC differentiation. </w:t>
      </w:r>
    </w:p>
    <w:p w14:paraId="4D98E416" w14:textId="77777777" w:rsidR="00BD5D90" w:rsidRPr="00E0167B" w:rsidRDefault="00BD5D90" w:rsidP="00BD5D90">
      <w:pPr>
        <w:ind w:left="426" w:right="27"/>
        <w:jc w:val="both"/>
        <w:rPr>
          <w:rFonts w:cs="Arial"/>
          <w:sz w:val="6"/>
          <w:szCs w:val="6"/>
        </w:rPr>
      </w:pPr>
      <w:r w:rsidRPr="006B5751">
        <w:rPr>
          <w:rFonts w:cs="Arial"/>
          <w:szCs w:val="22"/>
        </w:rPr>
        <w:t xml:space="preserve"> </w:t>
      </w:r>
    </w:p>
    <w:p w14:paraId="7D72FC86" w14:textId="77777777" w:rsidR="00BD5D90" w:rsidRPr="006B5751" w:rsidRDefault="00BD5D90" w:rsidP="00BD5D90">
      <w:pPr>
        <w:tabs>
          <w:tab w:val="left" w:pos="1568"/>
        </w:tabs>
        <w:ind w:right="27"/>
        <w:jc w:val="both"/>
        <w:rPr>
          <w:rFonts w:cs="Arial"/>
          <w:sz w:val="4"/>
          <w:szCs w:val="4"/>
        </w:rPr>
      </w:pPr>
    </w:p>
    <w:p w14:paraId="3F4EAD65" w14:textId="77777777" w:rsidR="00BD5D90" w:rsidRPr="006B5751" w:rsidRDefault="00BD5D90" w:rsidP="00BD5D90">
      <w:pPr>
        <w:ind w:left="993" w:right="27"/>
        <w:jc w:val="both"/>
        <w:rPr>
          <w:rFonts w:cs="Arial"/>
          <w:sz w:val="6"/>
          <w:szCs w:val="6"/>
        </w:rPr>
      </w:pPr>
    </w:p>
    <w:p w14:paraId="485EDA53" w14:textId="77777777" w:rsidR="00BD5D90" w:rsidRPr="006B5751" w:rsidRDefault="00BD5D90" w:rsidP="00BD5D90">
      <w:pPr>
        <w:numPr>
          <w:ilvl w:val="1"/>
          <w:numId w:val="20"/>
        </w:numPr>
        <w:ind w:left="993" w:right="27"/>
        <w:jc w:val="both"/>
        <w:rPr>
          <w:rFonts w:cs="Arial"/>
          <w:szCs w:val="22"/>
        </w:rPr>
      </w:pPr>
      <w:r w:rsidRPr="006B5751">
        <w:rPr>
          <w:rFonts w:cs="Arial"/>
          <w:szCs w:val="22"/>
        </w:rPr>
        <w:t xml:space="preserve">Flaminia Talos, Alice Nemajerova, Elsa R. Flores, Oleksi Petrenko and </w:t>
      </w:r>
      <w:r w:rsidRPr="006B5751">
        <w:rPr>
          <w:rFonts w:cs="Arial"/>
          <w:b/>
          <w:szCs w:val="22"/>
        </w:rPr>
        <w:t>Moll UM</w:t>
      </w:r>
      <w:r w:rsidRPr="006B5751">
        <w:rPr>
          <w:rFonts w:cs="Arial"/>
          <w:szCs w:val="22"/>
        </w:rPr>
        <w:t xml:space="preserve"> (2007). p73 maintains the integrity of the genome and prevents rereplication. </w:t>
      </w:r>
      <w:r w:rsidRPr="006B5751">
        <w:rPr>
          <w:rFonts w:cs="Arial"/>
          <w:b/>
          <w:i/>
          <w:szCs w:val="22"/>
        </w:rPr>
        <w:t>Mol Cell</w:t>
      </w:r>
      <w:r w:rsidRPr="006B5751">
        <w:rPr>
          <w:rFonts w:cs="Arial"/>
          <w:szCs w:val="22"/>
        </w:rPr>
        <w:t xml:space="preserve"> 27(4): 647-59.</w:t>
      </w:r>
    </w:p>
    <w:p w14:paraId="79EA8BCC" w14:textId="77777777" w:rsidR="00BD5D90" w:rsidRPr="006B5751" w:rsidRDefault="00BD5D90" w:rsidP="00BD5D90">
      <w:pPr>
        <w:ind w:left="993" w:right="27"/>
        <w:jc w:val="both"/>
        <w:rPr>
          <w:rFonts w:cs="Arial"/>
          <w:sz w:val="6"/>
          <w:szCs w:val="6"/>
        </w:rPr>
      </w:pPr>
    </w:p>
    <w:p w14:paraId="360215A9" w14:textId="79D16D56" w:rsidR="00BD5D90" w:rsidRPr="006B5751" w:rsidRDefault="00BD5D90" w:rsidP="00BD5D90">
      <w:pPr>
        <w:numPr>
          <w:ilvl w:val="1"/>
          <w:numId w:val="20"/>
        </w:numPr>
        <w:ind w:left="993" w:right="27"/>
        <w:jc w:val="both"/>
        <w:rPr>
          <w:rFonts w:cs="Arial"/>
          <w:szCs w:val="22"/>
        </w:rPr>
      </w:pPr>
      <w:r w:rsidRPr="006B5751">
        <w:rPr>
          <w:rFonts w:cs="Arial"/>
          <w:szCs w:val="22"/>
        </w:rPr>
        <w:lastRenderedPageBreak/>
        <w:t xml:space="preserve">Nemajerova A, Petrenko O, Trümper L, Palacios G, </w:t>
      </w:r>
      <w:r w:rsidRPr="006B5751">
        <w:rPr>
          <w:rFonts w:cs="Arial"/>
          <w:b/>
          <w:szCs w:val="22"/>
        </w:rPr>
        <w:t>Moll UM</w:t>
      </w:r>
      <w:r w:rsidRPr="006B5751">
        <w:rPr>
          <w:rFonts w:cs="Arial"/>
          <w:szCs w:val="22"/>
        </w:rPr>
        <w:t xml:space="preserve"> (2010) </w:t>
      </w:r>
      <w:r w:rsidRPr="00E501A4">
        <w:rPr>
          <w:rFonts w:cs="Arial"/>
          <w:szCs w:val="22"/>
        </w:rPr>
        <w:t>Loss of p73 promotes dissemination of Myc-induced B cell lymphomas in mice</w:t>
      </w:r>
      <w:r w:rsidRPr="006B5751">
        <w:rPr>
          <w:rFonts w:cs="Arial"/>
          <w:szCs w:val="22"/>
        </w:rPr>
        <w:t xml:space="preserve">. </w:t>
      </w:r>
      <w:r w:rsidRPr="006B5751">
        <w:rPr>
          <w:rFonts w:cs="Arial"/>
          <w:b/>
          <w:i/>
          <w:szCs w:val="22"/>
        </w:rPr>
        <w:t>J Clin Invest</w:t>
      </w:r>
      <w:r w:rsidRPr="006B5751">
        <w:rPr>
          <w:rFonts w:cs="Arial"/>
          <w:szCs w:val="22"/>
        </w:rPr>
        <w:t xml:space="preserve"> 120(6):2070-80. </w:t>
      </w:r>
    </w:p>
    <w:p w14:paraId="0905B450" w14:textId="77777777" w:rsidR="00BD5D90" w:rsidRPr="006B5751" w:rsidRDefault="00BD5D90" w:rsidP="00BD5D90">
      <w:pPr>
        <w:ind w:right="27"/>
        <w:jc w:val="both"/>
        <w:rPr>
          <w:rFonts w:cs="Arial"/>
          <w:sz w:val="6"/>
          <w:szCs w:val="6"/>
        </w:rPr>
      </w:pPr>
    </w:p>
    <w:p w14:paraId="6428BC02" w14:textId="5F5E8756" w:rsidR="00BD5D90" w:rsidRPr="002D76A2" w:rsidRDefault="00BD5D90" w:rsidP="00BD5D90">
      <w:pPr>
        <w:numPr>
          <w:ilvl w:val="1"/>
          <w:numId w:val="20"/>
        </w:numPr>
        <w:ind w:left="993" w:right="27"/>
        <w:jc w:val="both"/>
        <w:rPr>
          <w:rFonts w:cs="Arial"/>
          <w:i/>
          <w:color w:val="0432FF"/>
          <w:szCs w:val="22"/>
        </w:rPr>
      </w:pPr>
      <w:r w:rsidRPr="006B5751">
        <w:rPr>
          <w:rFonts w:cs="Arial"/>
          <w:szCs w:val="22"/>
        </w:rPr>
        <w:t xml:space="preserve">Holembowski L, Kramer D, Riedel D, Sordella R, Nemajerova A, Dobbelstein M and </w:t>
      </w:r>
      <w:r w:rsidRPr="006B5751">
        <w:rPr>
          <w:rFonts w:cs="Arial"/>
          <w:b/>
          <w:szCs w:val="22"/>
        </w:rPr>
        <w:t xml:space="preserve">Moll UM </w:t>
      </w:r>
      <w:r w:rsidRPr="006B5751">
        <w:rPr>
          <w:rFonts w:cs="Arial"/>
          <w:szCs w:val="22"/>
        </w:rPr>
        <w:t xml:space="preserve">(2014). </w:t>
      </w:r>
      <w:r w:rsidRPr="00E501A4">
        <w:rPr>
          <w:rFonts w:cs="Arial"/>
          <w:szCs w:val="22"/>
        </w:rPr>
        <w:t>TAp73 is essential for germ cell adhesion and maturation in testis</w:t>
      </w:r>
      <w:r w:rsidRPr="006B5751">
        <w:rPr>
          <w:rFonts w:cs="Arial"/>
          <w:szCs w:val="22"/>
        </w:rPr>
        <w:t xml:space="preserve">. </w:t>
      </w:r>
      <w:r w:rsidRPr="006B5751">
        <w:rPr>
          <w:rFonts w:cs="Arial"/>
          <w:b/>
          <w:i/>
          <w:szCs w:val="22"/>
        </w:rPr>
        <w:t>Journal Cell Biology</w:t>
      </w:r>
      <w:r w:rsidRPr="006B5751">
        <w:rPr>
          <w:rFonts w:cs="Arial"/>
          <w:szCs w:val="22"/>
        </w:rPr>
        <w:t xml:space="preserve">, 204 (7), 1173-1190. </w:t>
      </w:r>
      <w:r w:rsidRPr="002D76A2">
        <w:rPr>
          <w:rFonts w:cs="Arial"/>
          <w:i/>
          <w:color w:val="0432FF"/>
          <w:szCs w:val="22"/>
        </w:rPr>
        <w:t>Featured in Journal’s Highlights. Featured in Asian J Androl (2014)16, 799-800</w:t>
      </w:r>
    </w:p>
    <w:p w14:paraId="09C184ED" w14:textId="77777777" w:rsidR="00BD5D90" w:rsidRDefault="00BD5D90" w:rsidP="00BD5D90">
      <w:pPr>
        <w:ind w:left="426" w:right="27"/>
        <w:jc w:val="both"/>
        <w:rPr>
          <w:rFonts w:cs="Arial"/>
          <w:sz w:val="6"/>
          <w:szCs w:val="6"/>
        </w:rPr>
      </w:pPr>
    </w:p>
    <w:p w14:paraId="601536A9" w14:textId="77777777" w:rsidR="00BD5D90" w:rsidRDefault="00BD5D90" w:rsidP="00BD5D90">
      <w:pPr>
        <w:ind w:left="426" w:right="27"/>
        <w:jc w:val="both"/>
        <w:rPr>
          <w:rFonts w:cs="Arial"/>
          <w:sz w:val="6"/>
          <w:szCs w:val="6"/>
        </w:rPr>
      </w:pPr>
    </w:p>
    <w:p w14:paraId="28DEE4F0" w14:textId="77777777" w:rsidR="00BD5D90" w:rsidRPr="00E0167B" w:rsidRDefault="00BD5D90" w:rsidP="00BD5D90">
      <w:pPr>
        <w:ind w:left="426" w:right="27"/>
        <w:jc w:val="both"/>
        <w:rPr>
          <w:rFonts w:cs="Arial"/>
          <w:sz w:val="6"/>
          <w:szCs w:val="6"/>
        </w:rPr>
      </w:pPr>
    </w:p>
    <w:p w14:paraId="0A01821D" w14:textId="77777777" w:rsidR="00BD5D90" w:rsidRDefault="00BD5D90" w:rsidP="00BD5D90">
      <w:pPr>
        <w:numPr>
          <w:ilvl w:val="0"/>
          <w:numId w:val="25"/>
        </w:numPr>
        <w:ind w:left="426" w:right="27"/>
        <w:jc w:val="both"/>
        <w:rPr>
          <w:rFonts w:cs="Arial"/>
          <w:szCs w:val="22"/>
        </w:rPr>
      </w:pPr>
      <w:r w:rsidRPr="00703B42">
        <w:rPr>
          <w:rFonts w:cs="Arial"/>
          <w:b/>
          <w:szCs w:val="22"/>
        </w:rPr>
        <w:t>p63 gene biology</w:t>
      </w:r>
    </w:p>
    <w:p w14:paraId="76E94B7A" w14:textId="77777777" w:rsidR="00BD5D90" w:rsidRPr="006B5751" w:rsidRDefault="00BD5D90" w:rsidP="00BD5D90">
      <w:pPr>
        <w:ind w:left="426" w:right="27"/>
        <w:jc w:val="both"/>
        <w:rPr>
          <w:rFonts w:cs="Arial"/>
          <w:szCs w:val="22"/>
        </w:rPr>
      </w:pPr>
      <w:r>
        <w:rPr>
          <w:rFonts w:cs="Arial"/>
          <w:szCs w:val="22"/>
        </w:rPr>
        <w:t>M</w:t>
      </w:r>
      <w:r w:rsidRPr="006B5751">
        <w:rPr>
          <w:rFonts w:cs="Arial"/>
          <w:szCs w:val="22"/>
        </w:rPr>
        <w:t xml:space="preserve">y most important findings in the field of </w:t>
      </w:r>
      <w:r w:rsidRPr="006B5751">
        <w:rPr>
          <w:rFonts w:cs="Arial"/>
          <w:b/>
          <w:szCs w:val="22"/>
        </w:rPr>
        <w:t>p63</w:t>
      </w:r>
      <w:r w:rsidRPr="006B5751">
        <w:rPr>
          <w:rFonts w:cs="Arial"/>
          <w:szCs w:val="22"/>
        </w:rPr>
        <w:t xml:space="preserve"> deals with its role in development and ensuring genomic germline stability. </w:t>
      </w:r>
    </w:p>
    <w:p w14:paraId="6F018951" w14:textId="77777777" w:rsidR="00BD5D90" w:rsidRPr="00E0167B" w:rsidRDefault="00BD5D90" w:rsidP="00BD5D90">
      <w:pPr>
        <w:ind w:left="426" w:right="27"/>
        <w:jc w:val="both"/>
        <w:rPr>
          <w:rFonts w:cs="Arial"/>
          <w:sz w:val="6"/>
          <w:szCs w:val="6"/>
        </w:rPr>
      </w:pPr>
    </w:p>
    <w:p w14:paraId="28FDEE53" w14:textId="77777777" w:rsidR="00BD5D90" w:rsidRPr="006B5751" w:rsidRDefault="00BD5D90" w:rsidP="00BD5D90">
      <w:pPr>
        <w:numPr>
          <w:ilvl w:val="0"/>
          <w:numId w:val="30"/>
        </w:numPr>
        <w:ind w:right="27"/>
        <w:jc w:val="both"/>
        <w:rPr>
          <w:rFonts w:cs="Arial"/>
          <w:szCs w:val="22"/>
        </w:rPr>
      </w:pPr>
      <w:r w:rsidRPr="006B5751">
        <w:rPr>
          <w:rFonts w:cs="Arial"/>
          <w:szCs w:val="22"/>
        </w:rPr>
        <w:t>We showed that the long C-terminal</w:t>
      </w:r>
      <w:r>
        <w:rPr>
          <w:rFonts w:cs="Arial"/>
          <w:szCs w:val="22"/>
        </w:rPr>
        <w:t xml:space="preserve"> alpha</w:t>
      </w:r>
      <w:r w:rsidRPr="006B5751">
        <w:rPr>
          <w:rFonts w:cs="Arial"/>
          <w:szCs w:val="22"/>
        </w:rPr>
        <w:t xml:space="preserve"> isoforms of p63, containing the SAM protein-protein interaction motif, are required for normal skin and limb development, while the short gamma isoform that most closely resembles p53, is not sufficient and only has a transient function during embryogenesis. </w:t>
      </w:r>
    </w:p>
    <w:p w14:paraId="30ACB068" w14:textId="77777777" w:rsidR="00BD5D90" w:rsidRPr="00E0167B" w:rsidRDefault="00BD5D90" w:rsidP="00BD5D90">
      <w:pPr>
        <w:ind w:left="786" w:right="27"/>
        <w:jc w:val="both"/>
        <w:rPr>
          <w:rFonts w:cs="Arial"/>
          <w:sz w:val="6"/>
          <w:szCs w:val="6"/>
        </w:rPr>
      </w:pPr>
    </w:p>
    <w:p w14:paraId="6BF85FD8" w14:textId="77777777" w:rsidR="00BD5D90" w:rsidRPr="006B5751" w:rsidRDefault="00BD5D90" w:rsidP="00BD5D90">
      <w:pPr>
        <w:numPr>
          <w:ilvl w:val="0"/>
          <w:numId w:val="30"/>
        </w:numPr>
        <w:ind w:right="27"/>
        <w:jc w:val="both"/>
        <w:rPr>
          <w:rFonts w:cs="Arial"/>
          <w:szCs w:val="22"/>
        </w:rPr>
      </w:pPr>
      <w:r w:rsidRPr="006B5751">
        <w:rPr>
          <w:rFonts w:cs="Arial"/>
          <w:szCs w:val="22"/>
        </w:rPr>
        <w:t>We discovered that p63 is the guardian of the male germ line.  In male hominids including humans, an endogenous retrovirus (ERV9) - whose insertion into our genome occurred only 14 Mio years ago in evolution - uniquely drives expression of</w:t>
      </w:r>
      <w:r>
        <w:rPr>
          <w:rFonts w:cs="Arial"/>
          <w:szCs w:val="22"/>
        </w:rPr>
        <w:t xml:space="preserve"> high levels of</w:t>
      </w:r>
      <w:r w:rsidRPr="006B5751">
        <w:rPr>
          <w:rFonts w:cs="Arial"/>
          <w:szCs w:val="22"/>
        </w:rPr>
        <w:t xml:space="preserve"> TAp63, possibly enabling the long fertility period of hominids. </w:t>
      </w:r>
    </w:p>
    <w:p w14:paraId="3281C80C" w14:textId="77777777" w:rsidR="00BD5D90" w:rsidRPr="00E0167B" w:rsidRDefault="00BD5D90" w:rsidP="00BD5D90">
      <w:pPr>
        <w:ind w:right="27"/>
        <w:jc w:val="both"/>
        <w:rPr>
          <w:rFonts w:cs="Arial"/>
          <w:sz w:val="6"/>
          <w:szCs w:val="6"/>
        </w:rPr>
      </w:pPr>
    </w:p>
    <w:p w14:paraId="37E44176" w14:textId="77777777" w:rsidR="00BD5D90" w:rsidRPr="006B5751" w:rsidRDefault="00BD5D90" w:rsidP="00BD5D90">
      <w:pPr>
        <w:numPr>
          <w:ilvl w:val="0"/>
          <w:numId w:val="30"/>
        </w:numPr>
        <w:ind w:right="27"/>
        <w:jc w:val="both"/>
        <w:rPr>
          <w:rFonts w:cs="Arial"/>
          <w:szCs w:val="22"/>
        </w:rPr>
      </w:pPr>
      <w:r w:rsidRPr="006B5751">
        <w:rPr>
          <w:rFonts w:cs="Arial"/>
          <w:szCs w:val="22"/>
        </w:rPr>
        <w:t>We showed that Delta</w:t>
      </w:r>
      <w:r w:rsidRPr="006B5751">
        <w:rPr>
          <w:rFonts w:cs="Arial"/>
          <w:bCs/>
          <w:szCs w:val="22"/>
        </w:rPr>
        <w:t>Np63 is required for select routes of reprogramming fibroblasts into induced pluripotent stem cell</w:t>
      </w:r>
    </w:p>
    <w:p w14:paraId="4AB0222F" w14:textId="77777777" w:rsidR="00BD5D90" w:rsidRPr="00E0167B" w:rsidRDefault="00BD5D90" w:rsidP="00BD5D90">
      <w:pPr>
        <w:ind w:right="27"/>
        <w:jc w:val="both"/>
        <w:rPr>
          <w:rFonts w:cs="Arial"/>
          <w:bCs/>
          <w:sz w:val="6"/>
          <w:szCs w:val="6"/>
        </w:rPr>
      </w:pPr>
    </w:p>
    <w:p w14:paraId="621C4881" w14:textId="77777777" w:rsidR="00BD5D90" w:rsidRPr="006B5751" w:rsidRDefault="00BD5D90" w:rsidP="00BD5D90">
      <w:pPr>
        <w:numPr>
          <w:ilvl w:val="0"/>
          <w:numId w:val="30"/>
        </w:numPr>
        <w:ind w:right="27"/>
        <w:jc w:val="both"/>
        <w:rPr>
          <w:rFonts w:cs="Arial"/>
          <w:szCs w:val="22"/>
        </w:rPr>
      </w:pPr>
      <w:r w:rsidRPr="006B5751">
        <w:rPr>
          <w:rFonts w:cs="Arial"/>
          <w:bCs/>
          <w:szCs w:val="22"/>
        </w:rPr>
        <w:t>We established that in breast tissue</w:t>
      </w:r>
      <w:r w:rsidRPr="006B5751">
        <w:rPr>
          <w:rFonts w:cs="Arial"/>
          <w:szCs w:val="22"/>
        </w:rPr>
        <w:t xml:space="preserve"> Delta</w:t>
      </w:r>
      <w:r w:rsidRPr="006B5751">
        <w:rPr>
          <w:rFonts w:cs="Arial"/>
          <w:bCs/>
          <w:szCs w:val="22"/>
        </w:rPr>
        <w:t xml:space="preserve">Np63 is a survival factor for pregnancy-induced progenitors (PIMEC cells), which contain multipotent progenitors that give rise to alveoli and ducts in subsequent pregnancies. Due to </w:t>
      </w:r>
      <w:r w:rsidRPr="006B5751">
        <w:rPr>
          <w:rFonts w:cs="Arial"/>
          <w:szCs w:val="22"/>
        </w:rPr>
        <w:t>Delta</w:t>
      </w:r>
      <w:r w:rsidRPr="006B5751">
        <w:rPr>
          <w:rFonts w:cs="Arial"/>
          <w:bCs/>
          <w:szCs w:val="22"/>
        </w:rPr>
        <w:t>Np63, PIMECs survive post-lactational involution. Using a genetic in vivo labeling system for PI-MECs, we showed that p63+/- glands have a 30% reduction in the PIMEC pool. Importantly, PI-MECs are also targets of pregnancy-promoted ErbB2 tumorigenesis. Consistent with their PIMEC pool reduction, parous p63+/- ErbB2 mice are partially protected from breast tumorigenesis, with extended tumor-free and overall survival, and reduced tumor multiplicity, compared to control mice.</w:t>
      </w:r>
    </w:p>
    <w:p w14:paraId="72165820" w14:textId="77777777" w:rsidR="00BD5D90" w:rsidRPr="00E0167B" w:rsidRDefault="00BD5D90" w:rsidP="00BD5D90">
      <w:pPr>
        <w:ind w:right="27"/>
        <w:jc w:val="both"/>
        <w:rPr>
          <w:rFonts w:cs="Arial"/>
          <w:sz w:val="6"/>
          <w:szCs w:val="6"/>
        </w:rPr>
      </w:pPr>
    </w:p>
    <w:p w14:paraId="5E3FA69B" w14:textId="77777777" w:rsidR="00BD5D90" w:rsidRPr="006B5751" w:rsidRDefault="00BD5D90" w:rsidP="00BD5D90">
      <w:pPr>
        <w:tabs>
          <w:tab w:val="left" w:pos="1404"/>
        </w:tabs>
        <w:ind w:left="426" w:right="27"/>
        <w:jc w:val="both"/>
        <w:rPr>
          <w:rFonts w:cs="Arial"/>
          <w:sz w:val="4"/>
          <w:szCs w:val="4"/>
        </w:rPr>
      </w:pPr>
      <w:r w:rsidRPr="006B5751">
        <w:rPr>
          <w:rFonts w:cs="Arial"/>
          <w:szCs w:val="22"/>
        </w:rPr>
        <w:tab/>
      </w:r>
    </w:p>
    <w:p w14:paraId="4AE76033" w14:textId="28F323F5" w:rsidR="00BD5D90" w:rsidRPr="006B5751" w:rsidRDefault="00BD5D90" w:rsidP="00BD5D90">
      <w:pPr>
        <w:numPr>
          <w:ilvl w:val="1"/>
          <w:numId w:val="23"/>
        </w:numPr>
        <w:ind w:left="993" w:right="27"/>
        <w:jc w:val="both"/>
        <w:rPr>
          <w:rFonts w:cs="Arial"/>
          <w:szCs w:val="22"/>
          <w:lang w:bidi="en-US"/>
        </w:rPr>
      </w:pPr>
      <w:r w:rsidRPr="006B5751">
        <w:rPr>
          <w:rFonts w:cs="Arial"/>
          <w:szCs w:val="22"/>
          <w:lang w:val="de-DE"/>
        </w:rPr>
        <w:t xml:space="preserve">Wolff S, Talos F, Palacios G, Beyer U, Dobbelstein M, </w:t>
      </w:r>
      <w:r w:rsidRPr="006B5751">
        <w:rPr>
          <w:rFonts w:cs="Arial"/>
          <w:b/>
          <w:szCs w:val="22"/>
          <w:lang w:val="de-DE"/>
        </w:rPr>
        <w:t>Moll UM</w:t>
      </w:r>
      <w:r w:rsidRPr="006B5751">
        <w:rPr>
          <w:rFonts w:cs="Arial"/>
          <w:szCs w:val="22"/>
          <w:lang w:val="de-DE"/>
        </w:rPr>
        <w:t xml:space="preserve"> (2009). </w:t>
      </w:r>
      <w:r w:rsidRPr="00E501A4">
        <w:rPr>
          <w:rFonts w:cs="Arial"/>
          <w:szCs w:val="22"/>
        </w:rPr>
        <w:t>The alpha/beta carboxyterminal domains of p63 are required for skin and limb development</w:t>
      </w:r>
      <w:r w:rsidRPr="006B5751">
        <w:rPr>
          <w:rFonts w:cs="Arial"/>
          <w:szCs w:val="22"/>
        </w:rPr>
        <w:t xml:space="preserve">. </w:t>
      </w:r>
      <w:r w:rsidRPr="006B5751">
        <w:rPr>
          <w:rFonts w:cs="Arial"/>
          <w:b/>
          <w:i/>
          <w:szCs w:val="22"/>
        </w:rPr>
        <w:t>Cell Death Diff</w:t>
      </w:r>
      <w:r w:rsidRPr="006B5751">
        <w:rPr>
          <w:rFonts w:cs="Arial"/>
          <w:szCs w:val="22"/>
          <w:lang w:bidi="en-US"/>
        </w:rPr>
        <w:t xml:space="preserve"> 16(8): 1108-17. </w:t>
      </w:r>
    </w:p>
    <w:p w14:paraId="296260D7" w14:textId="77777777" w:rsidR="00BD5D90" w:rsidRPr="006B5751" w:rsidRDefault="00BD5D90" w:rsidP="00BD5D90">
      <w:pPr>
        <w:ind w:left="993" w:right="27"/>
        <w:jc w:val="both"/>
        <w:rPr>
          <w:rFonts w:cs="Arial"/>
          <w:sz w:val="6"/>
          <w:szCs w:val="6"/>
        </w:rPr>
      </w:pPr>
    </w:p>
    <w:p w14:paraId="3E29E98E" w14:textId="1B7744B7" w:rsidR="00BD5D90" w:rsidRPr="006B5751" w:rsidRDefault="00BD5D90" w:rsidP="00BD5D90">
      <w:pPr>
        <w:numPr>
          <w:ilvl w:val="1"/>
          <w:numId w:val="23"/>
        </w:numPr>
        <w:ind w:left="993" w:right="27"/>
        <w:jc w:val="both"/>
        <w:rPr>
          <w:rFonts w:cs="Arial"/>
          <w:szCs w:val="22"/>
        </w:rPr>
      </w:pPr>
      <w:r w:rsidRPr="006B5751">
        <w:rPr>
          <w:rFonts w:cs="Arial"/>
          <w:szCs w:val="22"/>
          <w:lang w:val="de-DE"/>
        </w:rPr>
        <w:t xml:space="preserve">Beyer U, Moll-Rocek J, </w:t>
      </w:r>
      <w:r w:rsidRPr="006B5751">
        <w:rPr>
          <w:rFonts w:cs="Arial"/>
          <w:b/>
          <w:szCs w:val="22"/>
          <w:lang w:val="de-DE"/>
        </w:rPr>
        <w:t>Moll UM</w:t>
      </w:r>
      <w:r w:rsidRPr="006B5751">
        <w:rPr>
          <w:rFonts w:cs="Arial"/>
          <w:szCs w:val="22"/>
          <w:lang w:val="de-DE"/>
        </w:rPr>
        <w:t xml:space="preserve">, Dobbelstein M (2011). </w:t>
      </w:r>
      <w:r w:rsidRPr="00E501A4">
        <w:rPr>
          <w:rFonts w:cs="Arial"/>
          <w:szCs w:val="22"/>
        </w:rPr>
        <w:t>Endogenous retrovirus drives hitherto unknown proapoptotic p63 isoforms in the male germ line of humans and great apes</w:t>
      </w:r>
      <w:r w:rsidRPr="006B5751">
        <w:rPr>
          <w:rFonts w:cs="Arial"/>
          <w:szCs w:val="22"/>
        </w:rPr>
        <w:t xml:space="preserve">. </w:t>
      </w:r>
      <w:r w:rsidRPr="006B5751">
        <w:rPr>
          <w:rFonts w:cs="Arial"/>
          <w:b/>
          <w:i/>
          <w:szCs w:val="22"/>
        </w:rPr>
        <w:t>PNAS</w:t>
      </w:r>
      <w:r w:rsidRPr="006B5751">
        <w:rPr>
          <w:rFonts w:cs="Arial"/>
          <w:b/>
          <w:szCs w:val="22"/>
          <w:lang w:bidi="en-US"/>
        </w:rPr>
        <w:t xml:space="preserve"> </w:t>
      </w:r>
      <w:r w:rsidRPr="006B5751">
        <w:rPr>
          <w:rFonts w:cs="Arial"/>
          <w:szCs w:val="22"/>
          <w:lang w:bidi="en-US"/>
        </w:rPr>
        <w:t xml:space="preserve">108(9): 3624-9. </w:t>
      </w:r>
      <w:r w:rsidRPr="002D76A2">
        <w:rPr>
          <w:rFonts w:cs="Arial"/>
          <w:color w:val="0432FF"/>
          <w:szCs w:val="22"/>
          <w:lang w:bidi="en-US"/>
        </w:rPr>
        <w:t xml:space="preserve">Featured in Science, Editor’s Choice vol 331, 18 Febr 2011, page 823. Highlighted in “This Week in PNAS” front section of issue Febr 15, 2011, 108 (7). </w:t>
      </w:r>
    </w:p>
    <w:p w14:paraId="68F1B111" w14:textId="77777777" w:rsidR="00BD5D90" w:rsidRPr="006B5751" w:rsidRDefault="00BD5D90" w:rsidP="00BD5D90">
      <w:pPr>
        <w:ind w:left="993" w:right="27"/>
        <w:jc w:val="both"/>
        <w:rPr>
          <w:rFonts w:cs="Arial"/>
          <w:bCs/>
          <w:i/>
          <w:sz w:val="6"/>
          <w:szCs w:val="6"/>
        </w:rPr>
      </w:pPr>
    </w:p>
    <w:p w14:paraId="1B22DA21" w14:textId="46DB33D0" w:rsidR="00BD5D90" w:rsidRPr="006B5751" w:rsidRDefault="00BD5D90" w:rsidP="00BD5D90">
      <w:pPr>
        <w:numPr>
          <w:ilvl w:val="1"/>
          <w:numId w:val="23"/>
        </w:numPr>
        <w:ind w:left="993" w:right="27"/>
        <w:jc w:val="both"/>
        <w:rPr>
          <w:rFonts w:cs="Arial"/>
          <w:bCs/>
          <w:i/>
          <w:szCs w:val="22"/>
        </w:rPr>
      </w:pPr>
      <w:r w:rsidRPr="006B5751">
        <w:rPr>
          <w:rFonts w:cs="Arial"/>
          <w:bCs/>
          <w:szCs w:val="22"/>
        </w:rPr>
        <w:t xml:space="preserve">Alexandrova E, Petrenko O, Nemajerova A, Romano RA,Sinha S and </w:t>
      </w:r>
      <w:r w:rsidRPr="006B5751">
        <w:rPr>
          <w:rFonts w:cs="Arial"/>
          <w:b/>
          <w:bCs/>
          <w:szCs w:val="22"/>
        </w:rPr>
        <w:t>Moll UM</w:t>
      </w:r>
      <w:r w:rsidRPr="006B5751">
        <w:rPr>
          <w:rFonts w:cs="Arial"/>
          <w:bCs/>
          <w:szCs w:val="22"/>
        </w:rPr>
        <w:t xml:space="preserve"> (2013). </w:t>
      </w:r>
      <w:r w:rsidRPr="00E501A4">
        <w:rPr>
          <w:rFonts w:cs="Arial"/>
          <w:bCs/>
          <w:szCs w:val="22"/>
        </w:rPr>
        <w:t>ΔNp63 is required for select routes of reprogramming via multiple mechanisms</w:t>
      </w:r>
      <w:r w:rsidRPr="006B5751">
        <w:rPr>
          <w:rFonts w:cs="Arial"/>
          <w:bCs/>
          <w:szCs w:val="22"/>
        </w:rPr>
        <w:t xml:space="preserve">. </w:t>
      </w:r>
      <w:r w:rsidRPr="006B5751">
        <w:rPr>
          <w:rFonts w:cs="Arial"/>
          <w:b/>
          <w:bCs/>
          <w:i/>
          <w:szCs w:val="22"/>
        </w:rPr>
        <w:t>Cell Death Diff</w:t>
      </w:r>
      <w:r w:rsidRPr="006B5751">
        <w:rPr>
          <w:rFonts w:cs="Arial"/>
          <w:bCs/>
          <w:i/>
          <w:szCs w:val="22"/>
        </w:rPr>
        <w:t xml:space="preserve"> 20(12):1698-708.</w:t>
      </w:r>
    </w:p>
    <w:p w14:paraId="2316EE9E" w14:textId="77777777" w:rsidR="00BD5D90" w:rsidRPr="006B5751" w:rsidRDefault="00BD5D90" w:rsidP="00BD5D90">
      <w:pPr>
        <w:ind w:left="993" w:right="27"/>
        <w:jc w:val="both"/>
        <w:rPr>
          <w:rFonts w:cs="Arial"/>
          <w:sz w:val="6"/>
          <w:szCs w:val="6"/>
        </w:rPr>
      </w:pPr>
    </w:p>
    <w:p w14:paraId="41CCF9F1" w14:textId="090CC0E7" w:rsidR="00BD5D90" w:rsidRPr="006B5751" w:rsidRDefault="00BD5D90" w:rsidP="00BD5D90">
      <w:pPr>
        <w:numPr>
          <w:ilvl w:val="1"/>
          <w:numId w:val="23"/>
        </w:numPr>
        <w:ind w:left="993" w:right="27"/>
        <w:jc w:val="both"/>
        <w:rPr>
          <w:rFonts w:cs="Arial"/>
          <w:szCs w:val="22"/>
        </w:rPr>
      </w:pPr>
      <w:r w:rsidRPr="006B5751">
        <w:rPr>
          <w:rFonts w:cs="Arial"/>
          <w:bCs/>
          <w:szCs w:val="22"/>
        </w:rPr>
        <w:t xml:space="preserve">YallowitzAR, Alexandrova EM, Talos F, Xu S, Marchenko ND and </w:t>
      </w:r>
      <w:r w:rsidRPr="006B5751">
        <w:rPr>
          <w:rFonts w:cs="Arial"/>
          <w:b/>
          <w:bCs/>
          <w:szCs w:val="22"/>
        </w:rPr>
        <w:t>UM Moll</w:t>
      </w:r>
      <w:r w:rsidRPr="006B5751">
        <w:rPr>
          <w:rFonts w:cs="Arial"/>
          <w:bCs/>
          <w:szCs w:val="22"/>
        </w:rPr>
        <w:t xml:space="preserve"> (2014) </w:t>
      </w:r>
      <w:r w:rsidRPr="00E501A4">
        <w:rPr>
          <w:rFonts w:cs="Arial"/>
          <w:bCs/>
          <w:szCs w:val="22"/>
        </w:rPr>
        <w:t>p63 is a prosurvival factor in the adult mammary gland during post-lactational involution, affecting PI-MECs and ErbB2 tumorigenesis</w:t>
      </w:r>
      <w:r w:rsidRPr="006B5751">
        <w:rPr>
          <w:rFonts w:cs="Arial"/>
          <w:bCs/>
          <w:szCs w:val="22"/>
        </w:rPr>
        <w:t xml:space="preserve">. </w:t>
      </w:r>
      <w:r w:rsidRPr="006B5751">
        <w:rPr>
          <w:rFonts w:cs="Arial"/>
          <w:b/>
          <w:bCs/>
          <w:i/>
          <w:szCs w:val="22"/>
        </w:rPr>
        <w:t>Cell Death Diff</w:t>
      </w:r>
      <w:r w:rsidRPr="006B5751">
        <w:rPr>
          <w:rFonts w:cs="Arial"/>
          <w:bCs/>
          <w:i/>
          <w:szCs w:val="22"/>
        </w:rPr>
        <w:t xml:space="preserve"> </w:t>
      </w:r>
      <w:r w:rsidRPr="006B5751">
        <w:rPr>
          <w:rFonts w:cs="Arial"/>
          <w:bCs/>
          <w:szCs w:val="22"/>
        </w:rPr>
        <w:t xml:space="preserve"> doi: 10.1038/cdd.2013.199.</w:t>
      </w:r>
    </w:p>
    <w:p w14:paraId="6F9D6485" w14:textId="1B8FF40B" w:rsidR="00BD5D90" w:rsidRDefault="00BD5D90" w:rsidP="00BD5D90">
      <w:pPr>
        <w:rPr>
          <w:rFonts w:cs="Arial"/>
          <w:b/>
          <w:sz w:val="8"/>
          <w:szCs w:val="8"/>
        </w:rPr>
      </w:pPr>
    </w:p>
    <w:p w14:paraId="7C92173E" w14:textId="4A81CA6A" w:rsidR="003A7809" w:rsidRDefault="003A7809" w:rsidP="00BD5D90">
      <w:pPr>
        <w:rPr>
          <w:rFonts w:cs="Arial"/>
          <w:b/>
          <w:sz w:val="8"/>
          <w:szCs w:val="8"/>
        </w:rPr>
      </w:pPr>
    </w:p>
    <w:p w14:paraId="703F2DDB" w14:textId="77777777" w:rsidR="00BE13C9" w:rsidRDefault="00BE13C9" w:rsidP="00BD5D90">
      <w:pPr>
        <w:rPr>
          <w:rFonts w:cs="Arial"/>
          <w:b/>
          <w:sz w:val="8"/>
          <w:szCs w:val="8"/>
        </w:rPr>
      </w:pPr>
    </w:p>
    <w:p w14:paraId="04263795" w14:textId="77777777" w:rsidR="00BD5D90" w:rsidRPr="00703B42" w:rsidRDefault="00BD5D90" w:rsidP="00BD5D90">
      <w:pPr>
        <w:rPr>
          <w:rFonts w:cs="Arial"/>
          <w:b/>
          <w:sz w:val="8"/>
          <w:szCs w:val="8"/>
        </w:rPr>
      </w:pPr>
    </w:p>
    <w:p w14:paraId="492F0CF2" w14:textId="439CBDD1" w:rsidR="00BD5D90" w:rsidRPr="00375936" w:rsidRDefault="00BD5D90" w:rsidP="00BD5D90">
      <w:pPr>
        <w:rPr>
          <w:rFonts w:cs="Arial"/>
          <w:color w:val="0F41F6"/>
          <w:szCs w:val="22"/>
        </w:rPr>
      </w:pPr>
      <w:r w:rsidRPr="006B5751">
        <w:rPr>
          <w:rFonts w:cs="Arial"/>
          <w:b/>
          <w:szCs w:val="22"/>
        </w:rPr>
        <w:t xml:space="preserve">Other Selected publications </w:t>
      </w:r>
      <w:r w:rsidRPr="006B5751">
        <w:rPr>
          <w:rFonts w:cs="Arial"/>
          <w:szCs w:val="22"/>
        </w:rPr>
        <w:t>(</w:t>
      </w:r>
      <w:r>
        <w:rPr>
          <w:rFonts w:cs="Arial"/>
          <w:szCs w:val="22"/>
        </w:rPr>
        <w:t>total 1</w:t>
      </w:r>
      <w:r w:rsidR="00B723FD">
        <w:rPr>
          <w:rFonts w:cs="Arial"/>
          <w:szCs w:val="22"/>
        </w:rPr>
        <w:t>83</w:t>
      </w:r>
      <w:r w:rsidRPr="006B5751">
        <w:rPr>
          <w:rFonts w:cs="Arial"/>
          <w:szCs w:val="22"/>
        </w:rPr>
        <w:t xml:space="preserve">) </w:t>
      </w:r>
      <w:r w:rsidRPr="00E501A4">
        <w:rPr>
          <w:rFonts w:cs="Arial"/>
          <w:szCs w:val="22"/>
        </w:rPr>
        <w:t>http://www.ncbi.nlm.nih.gov/pubmed/?term=moll+u</w:t>
      </w:r>
    </w:p>
    <w:p w14:paraId="0B04CA5A" w14:textId="77777777" w:rsidR="00BD5D90" w:rsidRPr="00147B33" w:rsidRDefault="00BD5D90" w:rsidP="00BD5D90">
      <w:pPr>
        <w:rPr>
          <w:rFonts w:cs="Arial"/>
          <w:sz w:val="6"/>
          <w:szCs w:val="6"/>
        </w:rPr>
      </w:pPr>
    </w:p>
    <w:p w14:paraId="51D38D86" w14:textId="45C51F30" w:rsidR="00BD5D90" w:rsidRDefault="00BD5D90" w:rsidP="00BD5D90">
      <w:pPr>
        <w:rPr>
          <w:rFonts w:cs="Arial"/>
          <w:sz w:val="6"/>
          <w:szCs w:val="6"/>
        </w:rPr>
      </w:pPr>
    </w:p>
    <w:p w14:paraId="364A59E4" w14:textId="42CF133C" w:rsidR="00BE13C9" w:rsidRDefault="00BE13C9" w:rsidP="00BD5D90">
      <w:pPr>
        <w:rPr>
          <w:rFonts w:cs="Arial"/>
          <w:sz w:val="6"/>
          <w:szCs w:val="6"/>
        </w:rPr>
      </w:pPr>
    </w:p>
    <w:p w14:paraId="1D21B533" w14:textId="77777777" w:rsidR="00BE13C9" w:rsidRDefault="00BE13C9" w:rsidP="00BD5D90">
      <w:pPr>
        <w:rPr>
          <w:rFonts w:cs="Arial"/>
          <w:sz w:val="6"/>
          <w:szCs w:val="6"/>
        </w:rPr>
      </w:pPr>
    </w:p>
    <w:p w14:paraId="60918AAC" w14:textId="77777777" w:rsidR="00BE13C9" w:rsidRPr="00661FCB" w:rsidRDefault="00BE13C9" w:rsidP="00BD5D90">
      <w:pPr>
        <w:rPr>
          <w:rFonts w:cs="Arial"/>
          <w:sz w:val="6"/>
          <w:szCs w:val="6"/>
        </w:rPr>
      </w:pPr>
    </w:p>
    <w:p w14:paraId="4B020574" w14:textId="47FB716C" w:rsidR="00A53863" w:rsidRPr="00C95E25" w:rsidRDefault="00A53863" w:rsidP="00A53863">
      <w:pPr>
        <w:ind w:right="-540"/>
        <w:rPr>
          <w:rFonts w:cs="Arial"/>
          <w:b/>
          <w:szCs w:val="22"/>
        </w:rPr>
      </w:pPr>
      <w:r w:rsidRPr="00C95E25">
        <w:rPr>
          <w:rFonts w:cs="Arial"/>
          <w:b/>
          <w:szCs w:val="22"/>
        </w:rPr>
        <w:t xml:space="preserve">Influence of Dr. Moll’s scholarly publications, GoogleScholar  </w:t>
      </w:r>
      <w:r w:rsidR="00E501A4" w:rsidRPr="00C95E25">
        <w:rPr>
          <w:rFonts w:cs="Arial"/>
          <w:b/>
          <w:szCs w:val="22"/>
        </w:rPr>
        <w:t xml:space="preserve">May </w:t>
      </w:r>
      <w:r w:rsidRPr="00C95E25">
        <w:rPr>
          <w:rFonts w:cs="Arial"/>
          <w:b/>
          <w:szCs w:val="22"/>
        </w:rPr>
        <w:t>202</w:t>
      </w:r>
      <w:r w:rsidR="00E501A4" w:rsidRPr="00C95E25">
        <w:rPr>
          <w:rFonts w:cs="Arial"/>
          <w:b/>
          <w:szCs w:val="22"/>
        </w:rPr>
        <w:t>3</w:t>
      </w:r>
    </w:p>
    <w:p w14:paraId="27981DEA" w14:textId="03B3B2FB" w:rsidR="00A53863" w:rsidRPr="00C95E25" w:rsidRDefault="00A53863" w:rsidP="00A53863">
      <w:pPr>
        <w:ind w:right="-540"/>
        <w:rPr>
          <w:rFonts w:cs="Arial"/>
          <w:szCs w:val="22"/>
        </w:rPr>
      </w:pPr>
      <w:r w:rsidRPr="00C95E25">
        <w:rPr>
          <w:rFonts w:cs="Arial"/>
          <w:szCs w:val="22"/>
        </w:rPr>
        <w:t xml:space="preserve">- the work has been cited </w:t>
      </w:r>
      <w:r w:rsidR="00B723FD" w:rsidRPr="00C95E25">
        <w:rPr>
          <w:rFonts w:cs="Arial"/>
          <w:szCs w:val="22"/>
        </w:rPr>
        <w:t>31,959</w:t>
      </w:r>
      <w:r w:rsidRPr="00C95E25">
        <w:rPr>
          <w:rFonts w:cs="Arial"/>
          <w:szCs w:val="22"/>
        </w:rPr>
        <w:t xml:space="preserve"> times (</w:t>
      </w:r>
      <w:r w:rsidR="00B723FD" w:rsidRPr="00C95E25">
        <w:rPr>
          <w:rFonts w:cs="Arial"/>
          <w:szCs w:val="22"/>
        </w:rPr>
        <w:t>11,079</w:t>
      </w:r>
      <w:r w:rsidRPr="00C95E25">
        <w:rPr>
          <w:rFonts w:cs="Arial"/>
          <w:szCs w:val="22"/>
        </w:rPr>
        <w:t xml:space="preserve"> times since 201</w:t>
      </w:r>
      <w:r w:rsidR="00B723FD" w:rsidRPr="00C95E25">
        <w:rPr>
          <w:rFonts w:cs="Arial"/>
          <w:szCs w:val="22"/>
        </w:rPr>
        <w:t>8</w:t>
      </w:r>
      <w:r w:rsidRPr="00C95E25">
        <w:rPr>
          <w:rFonts w:cs="Arial"/>
          <w:szCs w:val="22"/>
        </w:rPr>
        <w:t>)</w:t>
      </w:r>
    </w:p>
    <w:p w14:paraId="11C06DA2" w14:textId="664C29D7" w:rsidR="00A53863" w:rsidRPr="00C95E25" w:rsidRDefault="00A53863" w:rsidP="00A53863">
      <w:pPr>
        <w:ind w:right="-540"/>
        <w:rPr>
          <w:rFonts w:cs="Arial"/>
          <w:szCs w:val="22"/>
        </w:rPr>
      </w:pPr>
      <w:r w:rsidRPr="00C95E25">
        <w:rPr>
          <w:rFonts w:cs="Arial"/>
          <w:szCs w:val="22"/>
        </w:rPr>
        <w:t>- h-index of 7</w:t>
      </w:r>
      <w:r w:rsidR="00B723FD" w:rsidRPr="00C95E25">
        <w:rPr>
          <w:rFonts w:cs="Arial"/>
          <w:szCs w:val="22"/>
        </w:rPr>
        <w:t>7</w:t>
      </w:r>
      <w:r w:rsidRPr="00C95E25">
        <w:rPr>
          <w:rFonts w:cs="Arial"/>
          <w:szCs w:val="22"/>
        </w:rPr>
        <w:t xml:space="preserve"> (42 since 201</w:t>
      </w:r>
      <w:r w:rsidR="00B723FD" w:rsidRPr="00C95E25">
        <w:rPr>
          <w:rFonts w:cs="Arial"/>
          <w:szCs w:val="22"/>
        </w:rPr>
        <w:t>8)</w:t>
      </w:r>
    </w:p>
    <w:p w14:paraId="1E3A883E" w14:textId="159BB72D" w:rsidR="00A53863" w:rsidRPr="0077225D" w:rsidRDefault="00A53863" w:rsidP="00A53863">
      <w:pPr>
        <w:ind w:right="-540"/>
        <w:rPr>
          <w:rFonts w:cs="Arial"/>
          <w:szCs w:val="22"/>
        </w:rPr>
      </w:pPr>
      <w:r w:rsidRPr="00C95E25">
        <w:rPr>
          <w:rFonts w:cs="Arial"/>
          <w:szCs w:val="22"/>
        </w:rPr>
        <w:t xml:space="preserve">- i10-index of </w:t>
      </w:r>
      <w:r w:rsidR="00B723FD" w:rsidRPr="00C95E25">
        <w:rPr>
          <w:rFonts w:cs="Arial"/>
          <w:szCs w:val="22"/>
        </w:rPr>
        <w:t>153</w:t>
      </w:r>
      <w:r w:rsidRPr="00C95E25">
        <w:rPr>
          <w:rFonts w:cs="Arial"/>
          <w:szCs w:val="22"/>
        </w:rPr>
        <w:t xml:space="preserve"> (</w:t>
      </w:r>
      <w:r w:rsidR="00B723FD" w:rsidRPr="00C95E25">
        <w:rPr>
          <w:rFonts w:cs="Arial"/>
          <w:szCs w:val="22"/>
        </w:rPr>
        <w:t>96</w:t>
      </w:r>
      <w:r w:rsidRPr="00C95E25">
        <w:rPr>
          <w:rFonts w:cs="Arial"/>
          <w:szCs w:val="22"/>
        </w:rPr>
        <w:t xml:space="preserve"> since 201</w:t>
      </w:r>
      <w:r w:rsidR="00B723FD" w:rsidRPr="00C95E25">
        <w:rPr>
          <w:rFonts w:cs="Arial"/>
          <w:szCs w:val="22"/>
        </w:rPr>
        <w:t>8</w:t>
      </w:r>
      <w:r w:rsidRPr="00C95E25">
        <w:rPr>
          <w:rFonts w:cs="Arial"/>
          <w:szCs w:val="22"/>
        </w:rPr>
        <w:t>)</w:t>
      </w:r>
    </w:p>
    <w:p w14:paraId="4D4CE6A2" w14:textId="77777777" w:rsidR="003A7809" w:rsidRDefault="003A7809" w:rsidP="002C51BC">
      <w:pPr>
        <w:rPr>
          <w:rStyle w:val="Strong"/>
        </w:rPr>
      </w:pPr>
    </w:p>
    <w:p w14:paraId="3E42D7D4" w14:textId="77777777" w:rsidR="004A6F9D" w:rsidRPr="00875F2F" w:rsidRDefault="004A6F9D" w:rsidP="00FA5E06">
      <w:pPr>
        <w:ind w:right="-540"/>
        <w:rPr>
          <w:rFonts w:cs="Arial"/>
          <w:i/>
          <w:szCs w:val="22"/>
        </w:rPr>
      </w:pPr>
    </w:p>
    <w:p w14:paraId="5B48FA43" w14:textId="77777777" w:rsidR="00BD5D90" w:rsidRPr="00875F2F" w:rsidRDefault="00BD5D90" w:rsidP="00BD5D90">
      <w:pPr>
        <w:ind w:right="-540"/>
        <w:rPr>
          <w:rFonts w:cs="Arial"/>
          <w:szCs w:val="22"/>
        </w:rPr>
      </w:pP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r w:rsidRPr="00875F2F">
        <w:rPr>
          <w:rFonts w:cs="Arial"/>
          <w:szCs w:val="22"/>
        </w:rPr>
        <w:tab/>
      </w:r>
    </w:p>
    <w:p w14:paraId="21E76F30" w14:textId="4DD04C1B" w:rsidR="003A7809" w:rsidRPr="00875F2F" w:rsidRDefault="003A7809" w:rsidP="003A7809">
      <w:pPr>
        <w:ind w:right="-540"/>
        <w:rPr>
          <w:rFonts w:cs="Arial"/>
          <w:bCs/>
          <w:szCs w:val="22"/>
        </w:rPr>
      </w:pPr>
      <w:r w:rsidRPr="00875F2F">
        <w:rPr>
          <w:rFonts w:cs="Arial"/>
          <w:bCs/>
          <w:szCs w:val="22"/>
        </w:rPr>
        <w:tab/>
      </w:r>
      <w:r w:rsidRPr="00875F2F">
        <w:rPr>
          <w:rFonts w:cs="Arial"/>
          <w:bCs/>
          <w:szCs w:val="22"/>
        </w:rPr>
        <w:tab/>
      </w:r>
      <w:r w:rsidRPr="00875F2F">
        <w:rPr>
          <w:rFonts w:cs="Arial"/>
          <w:bCs/>
          <w:szCs w:val="22"/>
        </w:rPr>
        <w:tab/>
      </w:r>
      <w:r w:rsidRPr="00875F2F">
        <w:rPr>
          <w:rFonts w:cs="Arial"/>
          <w:bCs/>
          <w:szCs w:val="22"/>
        </w:rPr>
        <w:tab/>
      </w:r>
      <w:r w:rsidRPr="00875F2F">
        <w:rPr>
          <w:rFonts w:cs="Arial"/>
          <w:bCs/>
          <w:szCs w:val="22"/>
        </w:rPr>
        <w:tab/>
      </w:r>
      <w:r w:rsidRPr="00875F2F">
        <w:rPr>
          <w:rFonts w:cs="Arial"/>
          <w:szCs w:val="22"/>
        </w:rPr>
        <w:t xml:space="preserve"> </w:t>
      </w:r>
    </w:p>
    <w:p w14:paraId="5BB8C337" w14:textId="36F60DE3" w:rsidR="00FC5F9E" w:rsidRPr="00875F2F" w:rsidRDefault="00FC5F9E" w:rsidP="00BD5D90">
      <w:pPr>
        <w:pStyle w:val="DataField11pt-Single"/>
        <w:rPr>
          <w:rStyle w:val="Strong"/>
          <w:b w:val="0"/>
        </w:rPr>
      </w:pPr>
    </w:p>
    <w:p w14:paraId="187F8313" w14:textId="77777777" w:rsidR="004A6F9D" w:rsidRPr="00875F2F" w:rsidRDefault="004A6F9D" w:rsidP="00BD5D90">
      <w:pPr>
        <w:pStyle w:val="DataField11pt-Single"/>
        <w:rPr>
          <w:rStyle w:val="Strong"/>
          <w:b w:val="0"/>
        </w:rPr>
      </w:pPr>
    </w:p>
    <w:p w14:paraId="7F36B523" w14:textId="77777777" w:rsidR="004A6F9D" w:rsidRPr="00E03323" w:rsidRDefault="004A6F9D" w:rsidP="00BD5D90">
      <w:pPr>
        <w:pStyle w:val="DataField11pt-Single"/>
        <w:rPr>
          <w:rStyle w:val="Strong"/>
          <w:b w:val="0"/>
        </w:rPr>
      </w:pPr>
    </w:p>
    <w:sectPr w:rsidR="004A6F9D" w:rsidRPr="00E03323"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44A82" w14:textId="77777777" w:rsidR="00A276A1" w:rsidRDefault="00A276A1">
      <w:r>
        <w:separator/>
      </w:r>
    </w:p>
  </w:endnote>
  <w:endnote w:type="continuationSeparator" w:id="0">
    <w:p w14:paraId="727197F5" w14:textId="77777777" w:rsidR="00A276A1" w:rsidRDefault="00A2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F3B12" w14:textId="77777777" w:rsidR="00A276A1" w:rsidRDefault="00A276A1">
      <w:r>
        <w:separator/>
      </w:r>
    </w:p>
  </w:footnote>
  <w:footnote w:type="continuationSeparator" w:id="0">
    <w:p w14:paraId="03D6F6C6" w14:textId="77777777" w:rsidR="00A276A1" w:rsidRDefault="00A2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50898"/>
    <w:multiLevelType w:val="hybridMultilevel"/>
    <w:tmpl w:val="C43E0048"/>
    <w:lvl w:ilvl="0" w:tplc="18F6E31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747"/>
    <w:multiLevelType w:val="hybridMultilevel"/>
    <w:tmpl w:val="7E26EEB0"/>
    <w:lvl w:ilvl="0" w:tplc="71B6AF62">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093F70DF"/>
    <w:multiLevelType w:val="hybridMultilevel"/>
    <w:tmpl w:val="A224F09C"/>
    <w:lvl w:ilvl="0" w:tplc="16AA00D4">
      <w:start w:val="1"/>
      <w:numFmt w:val="lowerLetter"/>
      <w:lvlText w:val="%1)"/>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0AB97FE7"/>
    <w:multiLevelType w:val="hybridMultilevel"/>
    <w:tmpl w:val="18222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7A623A"/>
    <w:multiLevelType w:val="hybridMultilevel"/>
    <w:tmpl w:val="4B74EFC8"/>
    <w:lvl w:ilvl="0" w:tplc="849E064E">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0FDE7CE0"/>
    <w:multiLevelType w:val="hybridMultilevel"/>
    <w:tmpl w:val="F5D81FA2"/>
    <w:lvl w:ilvl="0" w:tplc="849E0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8" w15:restartNumberingAfterBreak="0">
    <w:nsid w:val="196743DF"/>
    <w:multiLevelType w:val="hybridMultilevel"/>
    <w:tmpl w:val="272C27D6"/>
    <w:lvl w:ilvl="0" w:tplc="849E064E">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B4D59F5"/>
    <w:multiLevelType w:val="hybridMultilevel"/>
    <w:tmpl w:val="DDE41F84"/>
    <w:lvl w:ilvl="0" w:tplc="5E70846C">
      <w:start w:val="1"/>
      <w:numFmt w:val="decimal"/>
      <w:lvlText w:val="%1."/>
      <w:lvlJc w:val="left"/>
      <w:pPr>
        <w:ind w:left="1014" w:hanging="360"/>
      </w:pPr>
      <w:rPr>
        <w:b/>
      </w:rPr>
    </w:lvl>
    <w:lvl w:ilvl="1" w:tplc="264EEC4C">
      <w:start w:val="1"/>
      <w:numFmt w:val="lowerLetter"/>
      <w:lvlText w:val="%2."/>
      <w:lvlJc w:val="left"/>
      <w:pPr>
        <w:ind w:left="1734" w:hanging="360"/>
      </w:pPr>
      <w:rPr>
        <w:b w:val="0"/>
        <w:i w:val="0"/>
        <w:color w:val="auto"/>
      </w:rPr>
    </w:lvl>
    <w:lvl w:ilvl="2" w:tplc="0409001B">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0"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55F1355C"/>
    <w:multiLevelType w:val="hybridMultilevel"/>
    <w:tmpl w:val="AA9EF51E"/>
    <w:lvl w:ilvl="0" w:tplc="849E0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03A5F"/>
    <w:multiLevelType w:val="hybridMultilevel"/>
    <w:tmpl w:val="06B6B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31BD2"/>
    <w:multiLevelType w:val="hybridMultilevel"/>
    <w:tmpl w:val="80DAA598"/>
    <w:lvl w:ilvl="0" w:tplc="21368964">
      <w:start w:val="3"/>
      <w:numFmt w:val="decimal"/>
      <w:lvlText w:val="%1."/>
      <w:lvlJc w:val="left"/>
      <w:pPr>
        <w:ind w:left="1374" w:hanging="360"/>
      </w:pPr>
      <w:rPr>
        <w:rFonts w:hint="default"/>
        <w:b/>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84336"/>
    <w:multiLevelType w:val="hybridMultilevel"/>
    <w:tmpl w:val="C6203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780954E6"/>
    <w:multiLevelType w:val="hybridMultilevel"/>
    <w:tmpl w:val="4B4611E0"/>
    <w:lvl w:ilvl="0" w:tplc="5E18311C">
      <w:start w:val="1"/>
      <w:numFmt w:val="lowerLetter"/>
      <w:lvlText w:val="%1)"/>
      <w:lvlJc w:val="left"/>
      <w:pPr>
        <w:ind w:left="786" w:hanging="360"/>
      </w:pPr>
      <w:rPr>
        <w:rFonts w:hint="default"/>
        <w:b/>
      </w:rPr>
    </w:lvl>
    <w:lvl w:ilvl="1" w:tplc="FB9C265E">
      <w:start w:val="1"/>
      <w:numFmt w:val="lowerLetter"/>
      <w:lvlText w:val="%2."/>
      <w:lvlJc w:val="left"/>
      <w:pPr>
        <w:ind w:left="1211" w:hanging="360"/>
      </w:pPr>
      <w:rPr>
        <w:color w:val="000000"/>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1"/>
  </w:num>
  <w:num w:numId="13">
    <w:abstractNumId w:val="17"/>
  </w:num>
  <w:num w:numId="14">
    <w:abstractNumId w:val="28"/>
  </w:num>
  <w:num w:numId="15">
    <w:abstractNumId w:val="25"/>
  </w:num>
  <w:num w:numId="16">
    <w:abstractNumId w:val="27"/>
  </w:num>
  <w:num w:numId="17">
    <w:abstractNumId w:val="10"/>
  </w:num>
  <w:num w:numId="18">
    <w:abstractNumId w:val="20"/>
  </w:num>
  <w:num w:numId="19">
    <w:abstractNumId w:val="14"/>
  </w:num>
  <w:num w:numId="20">
    <w:abstractNumId w:val="19"/>
  </w:num>
  <w:num w:numId="21">
    <w:abstractNumId w:val="26"/>
  </w:num>
  <w:num w:numId="22">
    <w:abstractNumId w:val="23"/>
  </w:num>
  <w:num w:numId="23">
    <w:abstractNumId w:val="13"/>
  </w:num>
  <w:num w:numId="24">
    <w:abstractNumId w:val="29"/>
  </w:num>
  <w:num w:numId="25">
    <w:abstractNumId w:val="24"/>
  </w:num>
  <w:num w:numId="26">
    <w:abstractNumId w:val="12"/>
  </w:num>
  <w:num w:numId="27">
    <w:abstractNumId w:val="16"/>
  </w:num>
  <w:num w:numId="28">
    <w:abstractNumId w:val="15"/>
  </w:num>
  <w:num w:numId="29">
    <w:abstractNumId w:val="18"/>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0F59"/>
    <w:rsid w:val="00067621"/>
    <w:rsid w:val="00084466"/>
    <w:rsid w:val="00092BAD"/>
    <w:rsid w:val="000A14FA"/>
    <w:rsid w:val="000A51ED"/>
    <w:rsid w:val="000E3BEC"/>
    <w:rsid w:val="0010496B"/>
    <w:rsid w:val="00114594"/>
    <w:rsid w:val="00122EB3"/>
    <w:rsid w:val="00132CA6"/>
    <w:rsid w:val="0014571A"/>
    <w:rsid w:val="00170D87"/>
    <w:rsid w:val="00173E36"/>
    <w:rsid w:val="00177D49"/>
    <w:rsid w:val="00183022"/>
    <w:rsid w:val="001A7BB7"/>
    <w:rsid w:val="001B6350"/>
    <w:rsid w:val="001C065C"/>
    <w:rsid w:val="002506F6"/>
    <w:rsid w:val="0028051C"/>
    <w:rsid w:val="002A70D9"/>
    <w:rsid w:val="002B7443"/>
    <w:rsid w:val="002C4808"/>
    <w:rsid w:val="002C51BC"/>
    <w:rsid w:val="002D15BF"/>
    <w:rsid w:val="002D7520"/>
    <w:rsid w:val="002D76A2"/>
    <w:rsid w:val="002E2CA2"/>
    <w:rsid w:val="002E5125"/>
    <w:rsid w:val="00307C9E"/>
    <w:rsid w:val="00321A19"/>
    <w:rsid w:val="0035045F"/>
    <w:rsid w:val="0035112D"/>
    <w:rsid w:val="00375936"/>
    <w:rsid w:val="0037667F"/>
    <w:rsid w:val="00382AB6"/>
    <w:rsid w:val="00383712"/>
    <w:rsid w:val="003A7809"/>
    <w:rsid w:val="003B747A"/>
    <w:rsid w:val="003C2647"/>
    <w:rsid w:val="003C3CA5"/>
    <w:rsid w:val="003C62D6"/>
    <w:rsid w:val="003D2399"/>
    <w:rsid w:val="003D7252"/>
    <w:rsid w:val="003E4A92"/>
    <w:rsid w:val="003F6A45"/>
    <w:rsid w:val="0040289D"/>
    <w:rsid w:val="00432346"/>
    <w:rsid w:val="00434F22"/>
    <w:rsid w:val="00447F3A"/>
    <w:rsid w:val="004759D9"/>
    <w:rsid w:val="0049068A"/>
    <w:rsid w:val="00493D23"/>
    <w:rsid w:val="004A3FC8"/>
    <w:rsid w:val="004A6802"/>
    <w:rsid w:val="004A6F9D"/>
    <w:rsid w:val="004C01B6"/>
    <w:rsid w:val="004E1846"/>
    <w:rsid w:val="00503B57"/>
    <w:rsid w:val="005145BB"/>
    <w:rsid w:val="00517BFD"/>
    <w:rsid w:val="0054471F"/>
    <w:rsid w:val="005461F3"/>
    <w:rsid w:val="00547118"/>
    <w:rsid w:val="00547AC9"/>
    <w:rsid w:val="00592740"/>
    <w:rsid w:val="005A7F6F"/>
    <w:rsid w:val="005C2BDD"/>
    <w:rsid w:val="005C2CF8"/>
    <w:rsid w:val="005C47A8"/>
    <w:rsid w:val="005D5E47"/>
    <w:rsid w:val="005E406E"/>
    <w:rsid w:val="005F0B12"/>
    <w:rsid w:val="005F5F51"/>
    <w:rsid w:val="00601C69"/>
    <w:rsid w:val="00611BEB"/>
    <w:rsid w:val="0061257D"/>
    <w:rsid w:val="00616BCC"/>
    <w:rsid w:val="00624261"/>
    <w:rsid w:val="00640D13"/>
    <w:rsid w:val="00646AF9"/>
    <w:rsid w:val="00651E09"/>
    <w:rsid w:val="00656AB8"/>
    <w:rsid w:val="006609B6"/>
    <w:rsid w:val="0068699D"/>
    <w:rsid w:val="006A353C"/>
    <w:rsid w:val="006A56FC"/>
    <w:rsid w:val="006B2D1C"/>
    <w:rsid w:val="006C1E1F"/>
    <w:rsid w:val="006E6FB5"/>
    <w:rsid w:val="007050F5"/>
    <w:rsid w:val="0071140F"/>
    <w:rsid w:val="00722C8F"/>
    <w:rsid w:val="00763DE9"/>
    <w:rsid w:val="00781234"/>
    <w:rsid w:val="007952C8"/>
    <w:rsid w:val="007B7AF3"/>
    <w:rsid w:val="007D7170"/>
    <w:rsid w:val="00801A6E"/>
    <w:rsid w:val="008073EB"/>
    <w:rsid w:val="00843027"/>
    <w:rsid w:val="00870BD5"/>
    <w:rsid w:val="00873917"/>
    <w:rsid w:val="00874EBC"/>
    <w:rsid w:val="0087514A"/>
    <w:rsid w:val="00875F2F"/>
    <w:rsid w:val="00890CA9"/>
    <w:rsid w:val="00907187"/>
    <w:rsid w:val="009211D3"/>
    <w:rsid w:val="00924AA5"/>
    <w:rsid w:val="00933173"/>
    <w:rsid w:val="00934124"/>
    <w:rsid w:val="00952A27"/>
    <w:rsid w:val="00971B7E"/>
    <w:rsid w:val="00977FA5"/>
    <w:rsid w:val="00994D00"/>
    <w:rsid w:val="00997894"/>
    <w:rsid w:val="009D7E97"/>
    <w:rsid w:val="009E52CA"/>
    <w:rsid w:val="009E6A49"/>
    <w:rsid w:val="009F72E5"/>
    <w:rsid w:val="00A03FFA"/>
    <w:rsid w:val="00A04942"/>
    <w:rsid w:val="00A04B52"/>
    <w:rsid w:val="00A1469B"/>
    <w:rsid w:val="00A14EF5"/>
    <w:rsid w:val="00A26D0F"/>
    <w:rsid w:val="00A276A1"/>
    <w:rsid w:val="00A36F49"/>
    <w:rsid w:val="00A42D9B"/>
    <w:rsid w:val="00A43855"/>
    <w:rsid w:val="00A50A8B"/>
    <w:rsid w:val="00A5156E"/>
    <w:rsid w:val="00A53863"/>
    <w:rsid w:val="00A55D1D"/>
    <w:rsid w:val="00A63D7C"/>
    <w:rsid w:val="00A7514C"/>
    <w:rsid w:val="00A8122C"/>
    <w:rsid w:val="00A83312"/>
    <w:rsid w:val="00AC739B"/>
    <w:rsid w:val="00AE41C4"/>
    <w:rsid w:val="00AF3077"/>
    <w:rsid w:val="00B723FD"/>
    <w:rsid w:val="00BD5D90"/>
    <w:rsid w:val="00BE13C9"/>
    <w:rsid w:val="00C05C55"/>
    <w:rsid w:val="00C076C6"/>
    <w:rsid w:val="00C1247F"/>
    <w:rsid w:val="00C137DA"/>
    <w:rsid w:val="00C20F69"/>
    <w:rsid w:val="00C3113F"/>
    <w:rsid w:val="00C4536F"/>
    <w:rsid w:val="00C46ADA"/>
    <w:rsid w:val="00C8438D"/>
    <w:rsid w:val="00C85025"/>
    <w:rsid w:val="00C918BD"/>
    <w:rsid w:val="00C94E59"/>
    <w:rsid w:val="00C95E25"/>
    <w:rsid w:val="00CA680A"/>
    <w:rsid w:val="00CE0951"/>
    <w:rsid w:val="00CF68A2"/>
    <w:rsid w:val="00D3779E"/>
    <w:rsid w:val="00D679E5"/>
    <w:rsid w:val="00D72E0B"/>
    <w:rsid w:val="00D74391"/>
    <w:rsid w:val="00D83360"/>
    <w:rsid w:val="00DB7B85"/>
    <w:rsid w:val="00DD2565"/>
    <w:rsid w:val="00DD31B4"/>
    <w:rsid w:val="00DF7645"/>
    <w:rsid w:val="00E03323"/>
    <w:rsid w:val="00E047AD"/>
    <w:rsid w:val="00E12287"/>
    <w:rsid w:val="00E127A1"/>
    <w:rsid w:val="00E20E6D"/>
    <w:rsid w:val="00E355C2"/>
    <w:rsid w:val="00E501A4"/>
    <w:rsid w:val="00E53183"/>
    <w:rsid w:val="00E53B95"/>
    <w:rsid w:val="00E67A05"/>
    <w:rsid w:val="00E74AB7"/>
    <w:rsid w:val="00E81FE1"/>
    <w:rsid w:val="00E90203"/>
    <w:rsid w:val="00EA0405"/>
    <w:rsid w:val="00ED35D7"/>
    <w:rsid w:val="00ED61AB"/>
    <w:rsid w:val="00EF0630"/>
    <w:rsid w:val="00EF4C32"/>
    <w:rsid w:val="00EF6598"/>
    <w:rsid w:val="00EF69CD"/>
    <w:rsid w:val="00F02126"/>
    <w:rsid w:val="00F07AB3"/>
    <w:rsid w:val="00F262AB"/>
    <w:rsid w:val="00F623FB"/>
    <w:rsid w:val="00F7284D"/>
    <w:rsid w:val="00F94A2B"/>
    <w:rsid w:val="00FA00C6"/>
    <w:rsid w:val="00FA5E0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ataField10pt">
    <w:name w:val="Data Field 10pt"/>
    <w:basedOn w:val="Normal"/>
    <w:rsid w:val="00BD5D90"/>
    <w:rPr>
      <w:rFonts w:cs="Arial"/>
      <w:sz w:val="20"/>
      <w:szCs w:val="20"/>
    </w:rPr>
  </w:style>
  <w:style w:type="character" w:customStyle="1" w:styleId="src">
    <w:name w:val="src"/>
    <w:basedOn w:val="DefaultParagraphFont"/>
    <w:rsid w:val="00BD5D90"/>
  </w:style>
  <w:style w:type="paragraph" w:customStyle="1" w:styleId="PIHeader">
    <w:name w:val="PI Header"/>
    <w:basedOn w:val="Normal"/>
    <w:rsid w:val="00BD5D90"/>
    <w:pPr>
      <w:spacing w:after="40"/>
      <w:ind w:left="864"/>
    </w:pPr>
    <w:rPr>
      <w:rFonts w:cs="Arial"/>
      <w:noProof/>
      <w:sz w:val="16"/>
      <w:szCs w:val="20"/>
    </w:rPr>
  </w:style>
  <w:style w:type="paragraph" w:styleId="ListParagraph">
    <w:name w:val="List Paragraph"/>
    <w:basedOn w:val="Normal"/>
    <w:uiPriority w:val="34"/>
    <w:qFormat/>
    <w:rsid w:val="00997894"/>
    <w:pPr>
      <w:ind w:left="720"/>
      <w:contextualSpacing/>
    </w:pPr>
  </w:style>
  <w:style w:type="character" w:styleId="FollowedHyperlink">
    <w:name w:val="FollowedHyperlink"/>
    <w:basedOn w:val="DefaultParagraphFont"/>
    <w:rsid w:val="007D7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18986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Ute Moll</cp:lastModifiedBy>
  <cp:revision>3</cp:revision>
  <cp:lastPrinted>2020-10-08T14:34:00Z</cp:lastPrinted>
  <dcterms:created xsi:type="dcterms:W3CDTF">2023-07-23T14:46:00Z</dcterms:created>
  <dcterms:modified xsi:type="dcterms:W3CDTF">2023-07-23T14:46:00Z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